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Spensara: how it works, onboarding, tools, workflows and gaps</w:t>
      </w:r>
    </w:p>
    <w:p>
      <w:r>
        <w:t>Prepared 2026-10-23 from the KDSAI codebase (</w:t>
      </w:r>
      <w:r>
        <w:rPr>
          <w:rFonts w:ascii="Consolas" w:hAnsi="Consolas"/>
          <w:color w:val="8B1A1A"/>
          <w:sz w:val="18"/>
        </w:rPr>
        <w:t>Bematechus/KDSAI</w:t>
      </w:r>
      <w:r>
        <w:t xml:space="preserve">, </w:t>
      </w:r>
      <w:r>
        <w:rPr>
          <w:rFonts w:ascii="Consolas" w:hAnsi="Consolas"/>
          <w:color w:val="8B1A1A"/>
          <w:sz w:val="18"/>
        </w:rPr>
        <w:t>main</w:t>
      </w:r>
      <w:r>
        <w:t xml:space="preserve"> at </w:t>
      </w:r>
      <w:r>
        <w:rPr>
          <w:rFonts w:ascii="Consolas" w:hAnsi="Consolas"/>
          <w:color w:val="8B1A1A"/>
          <w:sz w:val="18"/>
        </w:rPr>
        <w:t>f2962c7</w:t>
      </w:r>
      <w:r>
        <w:t xml:space="preserve">, 2026-06-24, plus 13 branches; the newest activity is </w:t>
      </w:r>
      <w:r>
        <w:rPr>
          <w:rFonts w:ascii="Consolas" w:hAnsi="Consolas"/>
          <w:color w:val="8B1A1A"/>
          <w:sz w:val="18"/>
        </w:rPr>
        <w:t>feature/fleet-import</w:t>
      </w:r>
      <w:r>
        <w:t>, committed 2026-10-23 05:25 ET). Code was read through the xstore Gitea pull mirror, which was in sync with GitHub this morning. Nothing in GitHub or the mirror was changed.</w:t>
      </w:r>
    </w:p>
    <w:p>
      <w:r>
        <w:t xml:space="preserve">"Spensara" is the product name. In code it is </w:t>
      </w:r>
      <w:r>
        <w:rPr>
          <w:rFonts w:ascii="Consolas" w:hAnsi="Consolas"/>
          <w:color w:val="8B1A1A"/>
          <w:sz w:val="18"/>
        </w:rPr>
        <w:t>KDSAI</w:t>
      </w:r>
      <w:r>
        <w:t xml:space="preserve"> / </w:t>
      </w:r>
      <w:r>
        <w:rPr>
          <w:rFonts w:ascii="Consolas" w:hAnsi="Consolas"/>
          <w:color w:val="8B1A1A"/>
          <w:sz w:val="18"/>
        </w:rPr>
        <w:t>Kds.Ai.*</w:t>
      </w:r>
      <w:r>
        <w:t>. Do not rename the repo; the mirror depends on the name.</w:t>
      </w:r>
    </w:p>
    <w:p>
      <w:pPr>
        <w:pStyle w:val="Heading1"/>
      </w:pPr>
      <w:r>
        <w:t>1. What Spensara is</w:t>
      </w:r>
    </w:p>
    <w:p>
      <w:r>
        <w:t xml:space="preserve">A restaurant monitoring and anomaly detection platform driven by large language models. A manager describes what to watch in plain English ("watch prep times by hour, flag strange slowdowns"). The system turns that into a versioned, executable </w:t>
      </w:r>
      <w:r>
        <w:rPr>
          <w:b/>
        </w:rPr>
        <w:t>MonitorSpec</w:t>
      </w:r>
      <w:r>
        <w:t>, runs it on a schedule against the restaurant's own warehouse data, double-checks its own conclusions, and emits alerts (</w:t>
      </w:r>
      <w:r>
        <w:rPr>
          <w:rFonts w:ascii="Consolas" w:hAnsi="Consolas"/>
          <w:color w:val="8B1A1A"/>
          <w:sz w:val="18"/>
        </w:rPr>
        <w:t>Name</w:t>
      </w:r>
      <w:r>
        <w:t xml:space="preserve">, </w:t>
      </w:r>
      <w:r>
        <w:rPr>
          <w:rFonts w:ascii="Consolas" w:hAnsi="Consolas"/>
          <w:color w:val="8B1A1A"/>
          <w:sz w:val="18"/>
        </w:rPr>
        <w:t>Summary</w:t>
      </w:r>
      <w:r>
        <w:t xml:space="preserve">, </w:t>
      </w:r>
      <w:r>
        <w:rPr>
          <w:rFonts w:ascii="Consolas" w:hAnsi="Consolas"/>
          <w:color w:val="8B1A1A"/>
          <w:sz w:val="18"/>
        </w:rPr>
        <w:t>Content</w:t>
      </w:r>
      <w:r>
        <w:t xml:space="preserve"> in Markdown, </w:t>
      </w:r>
      <w:r>
        <w:rPr>
          <w:rFonts w:ascii="Consolas" w:hAnsi="Consolas"/>
          <w:color w:val="8B1A1A"/>
          <w:sz w:val="18"/>
        </w:rPr>
        <w:t>Severity</w:t>
      </w:r>
      <w:r>
        <w:t xml:space="preserve"> High/Medium/Low). Managers can also chat with their data.</w:t>
      </w:r>
    </w:p>
    <w:p>
      <w:r>
        <w:t xml:space="preserve">Thirty example monitor specs ship in </w:t>
      </w:r>
      <w:r>
        <w:rPr>
          <w:rFonts w:ascii="Consolas" w:hAnsi="Consolas"/>
          <w:color w:val="8B1A1A"/>
          <w:sz w:val="18"/>
        </w:rPr>
        <w:t>backend/Kds.Ai.Data/MonitorSpecs/</w:t>
      </w:r>
      <w:r>
        <w:t xml:space="preserve"> (prep time, slow kitchen, station bottleneck, order surge, forgotten items, waste reduction, menu profitability, star and plowhorse items, demand and seasonality forecasts, customer segments and churn, pricing recommendations, inventory levels).</w:t>
      </w:r>
    </w:p>
    <w:p>
      <w:pPr>
        <w:pStyle w:val="Heading1"/>
      </w:pPr>
      <w:r>
        <w:t>2. Architecture and components</w:t>
      </w:r>
    </w:p>
    <w:tbl>
      <w:tblPr>
        <w:tblStyle w:val="TableGrid"/>
        <w:tblW w:type="auto" w:w="0"/>
        <w:tblLook w:firstColumn="1" w:firstRow="1" w:lastColumn="0" w:lastRow="0" w:noHBand="0" w:noVBand="1" w:val="04A0"/>
      </w:tblPr>
      <w:tblGrid>
        <w:gridCol w:w="3312"/>
        <w:gridCol w:w="3312"/>
        <w:gridCol w:w="3312"/>
      </w:tblGrid>
      <w:tr>
        <w:tc>
          <w:tcPr>
            <w:tcW w:type="dxa" w:w="3312"/>
            <w:shd w:val="clear" w:color="auto" w:fill="1F4E79"/>
          </w:tcPr>
          <w:p>
            <w:r>
              <w:rPr>
                <w:b/>
                <w:color w:val="FFFFFF"/>
                <w:sz w:val="18"/>
              </w:rPr>
              <w:t>Layer</w:t>
            </w:r>
          </w:p>
        </w:tc>
        <w:tc>
          <w:tcPr>
            <w:tcW w:type="dxa" w:w="3312"/>
            <w:shd w:val="clear" w:color="auto" w:fill="1F4E79"/>
          </w:tcPr>
          <w:p>
            <w:r>
              <w:rPr>
                <w:b/>
                <w:color w:val="FFFFFF"/>
                <w:sz w:val="18"/>
              </w:rPr>
              <w:t>Component</w:t>
            </w:r>
          </w:p>
        </w:tc>
        <w:tc>
          <w:tcPr>
            <w:tcW w:type="dxa" w:w="3312"/>
            <w:shd w:val="clear" w:color="auto" w:fill="1F4E79"/>
          </w:tcPr>
          <w:p>
            <w:r>
              <w:rPr>
                <w:b/>
                <w:color w:val="FFFFFF"/>
                <w:sz w:val="18"/>
              </w:rPr>
              <w:t>Technology</w:t>
            </w:r>
          </w:p>
        </w:tc>
      </w:tr>
      <w:tr>
        <w:tc>
          <w:tcPr>
            <w:tcW w:type="dxa" w:w="3312"/>
          </w:tcPr>
          <w:p>
            <w:r>
              <w:rPr>
                <w:sz w:val="18"/>
              </w:rPr>
              <w:t>Orchestration (dev)</w:t>
            </w:r>
          </w:p>
        </w:tc>
        <w:tc>
          <w:tcPr>
            <w:tcW w:type="dxa" w:w="3312"/>
          </w:tcPr>
          <w:p>
            <w:r>
              <w:rPr>
                <w:rFonts w:ascii="Consolas" w:hAnsi="Consolas"/>
                <w:color w:val="8B1A1A"/>
                <w:sz w:val="18"/>
              </w:rPr>
              <w:t>Kds.Ai.AppHost</w:t>
            </w:r>
          </w:p>
        </w:tc>
        <w:tc>
          <w:tcPr>
            <w:tcW w:type="dxa" w:w="3312"/>
          </w:tcPr>
          <w:p>
            <w:r>
              <w:rPr>
                <w:sz w:val="18"/>
              </w:rPr>
              <w:t>.NET Aspire 13: wires Postgres, Redis, Keycloak, MailPit, API, front end, simulator</w:t>
            </w:r>
          </w:p>
        </w:tc>
      </w:tr>
      <w:tr>
        <w:tc>
          <w:tcPr>
            <w:tcW w:type="dxa" w:w="3312"/>
          </w:tcPr>
          <w:p>
            <w:r>
              <w:rPr>
                <w:sz w:val="18"/>
              </w:rPr>
              <w:t>API and workers</w:t>
            </w:r>
          </w:p>
        </w:tc>
        <w:tc>
          <w:tcPr>
            <w:tcW w:type="dxa" w:w="3312"/>
          </w:tcPr>
          <w:p>
            <w:r>
              <w:rPr>
                <w:rFonts w:ascii="Consolas" w:hAnsi="Consolas"/>
                <w:color w:val="8B1A1A"/>
                <w:sz w:val="18"/>
              </w:rPr>
              <w:t>Kds.Ai.ApiService</w:t>
            </w:r>
          </w:p>
        </w:tc>
        <w:tc>
          <w:tcPr>
            <w:tcW w:type="dxa" w:w="3312"/>
          </w:tcPr>
          <w:p>
            <w:r>
              <w:rPr>
                <w:sz w:val="18"/>
              </w:rPr>
              <w:t>ASP.NET Core (.NET 10), minimal APIs, OpenAPI/Scalar, hosted services</w:t>
            </w:r>
          </w:p>
        </w:tc>
      </w:tr>
      <w:tr>
        <w:tc>
          <w:tcPr>
            <w:tcW w:type="dxa" w:w="3312"/>
          </w:tcPr>
          <w:p>
            <w:r>
              <w:rPr>
                <w:sz w:val="18"/>
              </w:rPr>
              <w:t>Job scheduler</w:t>
            </w:r>
          </w:p>
        </w:tc>
        <w:tc>
          <w:tcPr>
            <w:tcW w:type="dxa" w:w="3312"/>
          </w:tcPr>
          <w:p>
            <w:r>
              <w:rPr>
                <w:sz w:val="18"/>
              </w:rPr>
              <w:t>TickerQ (EF Core store, Redis cache, dashboard)</w:t>
            </w:r>
          </w:p>
        </w:tc>
        <w:tc>
          <w:tcPr>
            <w:tcW w:type="dxa" w:w="3312"/>
          </w:tcPr>
          <w:p>
            <w:r>
              <w:rPr>
                <w:sz w:val="18"/>
              </w:rPr>
              <w:t>Cron jobs per customer credential and per monitor</w:t>
            </w:r>
          </w:p>
        </w:tc>
      </w:tr>
      <w:tr>
        <w:tc>
          <w:tcPr>
            <w:tcW w:type="dxa" w:w="3312"/>
          </w:tcPr>
          <w:p>
            <w:r>
              <w:rPr>
                <w:sz w:val="18"/>
              </w:rPr>
              <w:t>Agents</w:t>
            </w:r>
          </w:p>
        </w:tc>
        <w:tc>
          <w:tcPr>
            <w:tcW w:type="dxa" w:w="3312"/>
          </w:tcPr>
          <w:p>
            <w:r>
              <w:rPr>
                <w:rFonts w:ascii="Consolas" w:hAnsi="Consolas"/>
                <w:color w:val="8B1A1A"/>
                <w:sz w:val="18"/>
              </w:rPr>
              <w:t>Kds.Ai.AgentsCommon</w:t>
            </w:r>
            <w:r>
              <w:rPr>
                <w:sz w:val="18"/>
              </w:rPr>
              <w:t xml:space="preserve">, </w:t>
            </w:r>
            <w:r>
              <w:rPr>
                <w:rFonts w:ascii="Consolas" w:hAnsi="Consolas"/>
                <w:color w:val="8B1A1A"/>
                <w:sz w:val="18"/>
              </w:rPr>
              <w:t>Kds.Ai.AnomalyDetector</w:t>
            </w:r>
            <w:r>
              <w:rPr>
                <w:sz w:val="18"/>
              </w:rPr>
              <w:t xml:space="preserve">, </w:t>
            </w:r>
            <w:r>
              <w:rPr>
                <w:rFonts w:ascii="Consolas" w:hAnsi="Consolas"/>
                <w:color w:val="8B1A1A"/>
                <w:sz w:val="18"/>
              </w:rPr>
              <w:t>Kds.Ai.KnowledgeBase</w:t>
            </w:r>
          </w:p>
        </w:tc>
        <w:tc>
          <w:tcPr>
            <w:tcW w:type="dxa" w:w="3312"/>
          </w:tcPr>
          <w:p>
            <w:r>
              <w:rPr>
                <w:sz w:val="18"/>
              </w:rPr>
              <w:t>Microsoft Agent Framework + Microsoft model-abstraction libraries; models on Amazon Bedrock</w:t>
            </w:r>
          </w:p>
        </w:tc>
      </w:tr>
      <w:tr>
        <w:tc>
          <w:tcPr>
            <w:tcW w:type="dxa" w:w="3312"/>
          </w:tcPr>
          <w:p>
            <w:r>
              <w:rPr>
                <w:sz w:val="18"/>
              </w:rPr>
              <w:t>App database</w:t>
            </w:r>
          </w:p>
        </w:tc>
        <w:tc>
          <w:tcPr>
            <w:tcW w:type="dxa" w:w="3312"/>
          </w:tcPr>
          <w:p>
            <w:r>
              <w:rPr>
                <w:rFonts w:ascii="Consolas" w:hAnsi="Consolas"/>
                <w:color w:val="8B1A1A"/>
                <w:sz w:val="18"/>
              </w:rPr>
              <w:t>kdsaidb</w:t>
            </w:r>
          </w:p>
        </w:tc>
        <w:tc>
          <w:tcPr>
            <w:tcW w:type="dxa" w:w="3312"/>
          </w:tcPr>
          <w:p>
            <w:r>
              <w:rPr>
                <w:sz w:val="18"/>
              </w:rPr>
              <w:t>PostgreSQL + pgvector (customers, users, credentials, specs, runs, alerts, ETL batches, checkpoints, embeddings)</w:t>
            </w:r>
          </w:p>
        </w:tc>
      </w:tr>
      <w:tr>
        <w:tc>
          <w:tcPr>
            <w:tcW w:type="dxa" w:w="3312"/>
          </w:tcPr>
          <w:p>
            <w:r>
              <w:rPr>
                <w:sz w:val="18"/>
              </w:rPr>
              <w:t>Warehouse</w:t>
            </w:r>
          </w:p>
        </w:tc>
        <w:tc>
          <w:tcPr>
            <w:tcW w:type="dxa" w:w="3312"/>
          </w:tcPr>
          <w:p>
            <w:r>
              <w:rPr>
                <w:rFonts w:ascii="Consolas" w:hAnsi="Consolas"/>
                <w:color w:val="8B1A1A"/>
                <w:sz w:val="18"/>
              </w:rPr>
              <w:t>Kds.Ai.Warehouse</w:t>
            </w:r>
            <w:r>
              <w:rPr>
                <w:sz w:val="18"/>
              </w:rPr>
              <w:t xml:space="preserve">, </w:t>
            </w:r>
            <w:r>
              <w:rPr>
                <w:rFonts w:ascii="Consolas" w:hAnsi="Consolas"/>
                <w:color w:val="8B1A1A"/>
                <w:sz w:val="18"/>
              </w:rPr>
              <w:t>Kds.Ai.WarehouseDataModel</w:t>
            </w:r>
          </w:p>
        </w:tc>
        <w:tc>
          <w:tcPr>
            <w:tcW w:type="dxa" w:w="3312"/>
          </w:tcPr>
          <w:p>
            <w:r>
              <w:rPr>
                <w:sz w:val="18"/>
              </w:rPr>
              <w:t xml:space="preserve">Amazon Redshift Serverless, one database per tenant, schemas </w:t>
            </w:r>
            <w:r>
              <w:rPr>
                <w:rFonts w:ascii="Consolas" w:hAnsi="Consolas"/>
                <w:color w:val="8B1A1A"/>
                <w:sz w:val="18"/>
              </w:rPr>
              <w:t>staging</w:t>
            </w:r>
            <w:r>
              <w:rPr>
                <w:sz w:val="18"/>
              </w:rPr>
              <w:t xml:space="preserve"> / </w:t>
            </w:r>
            <w:r>
              <w:rPr>
                <w:rFonts w:ascii="Consolas" w:hAnsi="Consolas"/>
                <w:color w:val="8B1A1A"/>
                <w:sz w:val="18"/>
              </w:rPr>
              <w:t>curated</w:t>
            </w:r>
            <w:r>
              <w:rPr>
                <w:sz w:val="18"/>
              </w:rPr>
              <w:t xml:space="preserve"> / </w:t>
            </w:r>
            <w:r>
              <w:rPr>
                <w:rFonts w:ascii="Consolas" w:hAnsi="Consolas"/>
                <w:color w:val="8B1A1A"/>
                <w:sz w:val="18"/>
              </w:rPr>
              <w:t>serving</w:t>
            </w:r>
            <w:r>
              <w:rPr>
                <w:sz w:val="18"/>
              </w:rPr>
              <w:t xml:space="preserve"> (Postgres stands in locally)</w:t>
            </w:r>
          </w:p>
        </w:tc>
      </w:tr>
      <w:tr>
        <w:tc>
          <w:tcPr>
            <w:tcW w:type="dxa" w:w="3312"/>
          </w:tcPr>
          <w:p>
            <w:r>
              <w:rPr>
                <w:sz w:val="18"/>
              </w:rPr>
              <w:t>Data lake</w:t>
            </w:r>
          </w:p>
        </w:tc>
        <w:tc>
          <w:tcPr>
            <w:tcW w:type="dxa" w:w="3312"/>
          </w:tcPr>
          <w:p>
            <w:r>
              <w:rPr>
                <w:sz w:val="18"/>
              </w:rPr>
              <w:t>S3</w:t>
            </w:r>
          </w:p>
        </w:tc>
        <w:tc>
          <w:tcPr>
            <w:tcW w:type="dxa" w:w="3312"/>
          </w:tcPr>
          <w:p>
            <w:r>
              <w:rPr>
                <w:rFonts w:ascii="Consolas" w:hAnsi="Consolas"/>
                <w:color w:val="8B1A1A"/>
                <w:sz w:val="18"/>
              </w:rPr>
              <w:t>raw/</w:t>
            </w:r>
            <w:r>
              <w:rPr>
                <w:sz w:val="18"/>
              </w:rPr>
              <w:t xml:space="preserve">, </w:t>
            </w:r>
            <w:r>
              <w:rPr>
                <w:rFonts w:ascii="Consolas" w:hAnsi="Consolas"/>
                <w:color w:val="8B1A1A"/>
                <w:sz w:val="18"/>
              </w:rPr>
              <w:t>load/</w:t>
            </w:r>
            <w:r>
              <w:rPr>
                <w:sz w:val="18"/>
              </w:rPr>
              <w:t xml:space="preserve"> (Parquet), </w:t>
            </w:r>
            <w:r>
              <w:rPr>
                <w:rFonts w:ascii="Consolas" w:hAnsi="Consolas"/>
                <w:color w:val="8B1A1A"/>
                <w:sz w:val="18"/>
              </w:rPr>
              <w:t>curated/</w:t>
            </w:r>
            <w:r>
              <w:rPr>
                <w:sz w:val="18"/>
              </w:rPr>
              <w:t xml:space="preserve"> (Parquet via Redshift </w:t>
            </w:r>
            <w:r>
              <w:rPr>
                <w:rFonts w:ascii="Consolas" w:hAnsi="Consolas"/>
                <w:color w:val="8B1A1A"/>
                <w:sz w:val="18"/>
              </w:rPr>
              <w:t>UNLOAD</w:t>
            </w:r>
            <w:r>
              <w:rPr>
                <w:sz w:val="18"/>
              </w:rPr>
              <w:t xml:space="preserve">), </w:t>
            </w:r>
            <w:r>
              <w:rPr>
                <w:rFonts w:ascii="Consolas" w:hAnsi="Consolas"/>
                <w:color w:val="8B1A1A"/>
                <w:sz w:val="18"/>
              </w:rPr>
              <w:t>failed/</w:t>
            </w:r>
          </w:p>
        </w:tc>
      </w:tr>
      <w:tr>
        <w:tc>
          <w:tcPr>
            <w:tcW w:type="dxa" w:w="3312"/>
          </w:tcPr>
          <w:p>
            <w:r>
              <w:rPr>
                <w:sz w:val="18"/>
              </w:rPr>
              <w:t>Source adapters</w:t>
            </w:r>
          </w:p>
        </w:tc>
        <w:tc>
          <w:tcPr>
            <w:tcW w:type="dxa" w:w="3312"/>
          </w:tcPr>
          <w:p>
            <w:r>
              <w:rPr>
                <w:rFonts w:ascii="Consolas" w:hAnsi="Consolas"/>
                <w:color w:val="8B1A1A"/>
                <w:sz w:val="18"/>
              </w:rPr>
              <w:t>Kds.Ai.Integrations</w:t>
            </w:r>
            <w:r>
              <w:rPr>
                <w:sz w:val="18"/>
              </w:rPr>
              <w:t xml:space="preserve">, </w:t>
            </w:r>
            <w:r>
              <w:rPr>
                <w:rFonts w:ascii="Consolas" w:hAnsi="Consolas"/>
                <w:color w:val="8B1A1A"/>
                <w:sz w:val="18"/>
              </w:rPr>
              <w:t>Kds.Ai.Integrations.BrinkPos</w:t>
            </w:r>
          </w:p>
        </w:tc>
        <w:tc>
          <w:tcPr>
            <w:tcW w:type="dxa" w:w="3312"/>
          </w:tcPr>
          <w:p>
            <w:r>
              <w:rPr>
                <w:sz w:val="18"/>
              </w:rPr>
              <w:t>ETL source adapter framework; Brink POS (SOAP), KDS CDC (Debezium over cross-account SQS FIFO), Fleet file import (branch)</w:t>
            </w:r>
          </w:p>
        </w:tc>
      </w:tr>
      <w:tr>
        <w:tc>
          <w:tcPr>
            <w:tcW w:type="dxa" w:w="3312"/>
          </w:tcPr>
          <w:p>
            <w:r>
              <w:rPr>
                <w:sz w:val="18"/>
              </w:rPr>
              <w:t>Identity</w:t>
            </w:r>
          </w:p>
        </w:tc>
        <w:tc>
          <w:tcPr>
            <w:tcW w:type="dxa" w:w="3312"/>
          </w:tcPr>
          <w:p>
            <w:r>
              <w:rPr>
                <w:sz w:val="18"/>
              </w:rPr>
              <w:t>Keycloak</w:t>
            </w:r>
          </w:p>
        </w:tc>
        <w:tc>
          <w:tcPr>
            <w:tcW w:type="dxa" w:w="3312"/>
          </w:tcPr>
          <w:p>
            <w:r>
              <w:rPr>
                <w:sz w:val="18"/>
              </w:rPr>
              <w:t xml:space="preserve">OIDC; roles; bootstrap via </w:t>
            </w:r>
            <w:r>
              <w:rPr>
                <w:rFonts w:ascii="Consolas" w:hAnsi="Consolas"/>
                <w:color w:val="8B1A1A"/>
                <w:sz w:val="18"/>
              </w:rPr>
              <w:t>Kds.Ai.Cli keycloak</w:t>
            </w:r>
          </w:p>
        </w:tc>
      </w:tr>
      <w:tr>
        <w:tc>
          <w:tcPr>
            <w:tcW w:type="dxa" w:w="3312"/>
          </w:tcPr>
          <w:p>
            <w:r>
              <w:rPr>
                <w:sz w:val="18"/>
              </w:rPr>
              <w:t>Front end</w:t>
            </w:r>
          </w:p>
        </w:tc>
        <w:tc>
          <w:tcPr>
            <w:tcW w:type="dxa" w:w="3312"/>
          </w:tcPr>
          <w:p>
            <w:r>
              <w:rPr>
                <w:rFonts w:ascii="Consolas" w:hAnsi="Consolas"/>
                <w:color w:val="8B1A1A"/>
                <w:sz w:val="18"/>
              </w:rPr>
              <w:t>Front/</w:t>
            </w:r>
          </w:p>
        </w:tc>
        <w:tc>
          <w:tcPr>
            <w:tcW w:type="dxa" w:w="3312"/>
          </w:tcPr>
          <w:p>
            <w:r>
              <w:rPr>
                <w:sz w:val="18"/>
              </w:rPr>
              <w:t xml:space="preserve">Laravel 13 / PHP 8.3, Blade + Tailwind; backend-for-frontend only, no own database. A Vue dashboard is in progress on </w:t>
            </w:r>
            <w:r>
              <w:rPr>
                <w:rFonts w:ascii="Consolas" w:hAnsi="Consolas"/>
                <w:color w:val="8B1A1A"/>
                <w:sz w:val="18"/>
              </w:rPr>
              <w:t>kd/vue</w:t>
            </w:r>
            <w:r>
              <w:rPr>
                <w:sz w:val="18"/>
              </w:rPr>
              <w:t xml:space="preserve"> and </w:t>
            </w:r>
            <w:r>
              <w:rPr>
                <w:rFonts w:ascii="Consolas" w:hAnsi="Consolas"/>
                <w:color w:val="8B1A1A"/>
                <w:sz w:val="18"/>
              </w:rPr>
              <w:t>kd/dashboard-vue</w:t>
            </w:r>
          </w:p>
        </w:tc>
      </w:tr>
      <w:tr>
        <w:tc>
          <w:tcPr>
            <w:tcW w:type="dxa" w:w="3312"/>
          </w:tcPr>
          <w:p>
            <w:r>
              <w:rPr>
                <w:sz w:val="18"/>
              </w:rPr>
              <w:t>Notifications</w:t>
            </w:r>
          </w:p>
        </w:tc>
        <w:tc>
          <w:tcPr>
            <w:tcW w:type="dxa" w:w="3312"/>
          </w:tcPr>
          <w:p>
            <w:r>
              <w:rPr>
                <w:rFonts w:ascii="Consolas" w:hAnsi="Consolas"/>
                <w:color w:val="8B1A1A"/>
                <w:sz w:val="18"/>
              </w:rPr>
              <w:t>Kds.Ai.Notifications</w:t>
            </w:r>
          </w:p>
        </w:tc>
        <w:tc>
          <w:tcPr>
            <w:tcW w:type="dxa" w:w="3312"/>
          </w:tcPr>
          <w:p>
            <w:r>
              <w:rPr>
                <w:sz w:val="18"/>
              </w:rPr>
              <w:t>Email (MailKit), SMS (Twilio)</w:t>
            </w:r>
          </w:p>
        </w:tc>
      </w:tr>
      <w:tr>
        <w:tc>
          <w:tcPr>
            <w:tcW w:type="dxa" w:w="3312"/>
          </w:tcPr>
          <w:p>
            <w:r>
              <w:rPr>
                <w:sz w:val="18"/>
              </w:rPr>
              <w:t>Simulator</w:t>
            </w:r>
          </w:p>
        </w:tc>
        <w:tc>
          <w:tcPr>
            <w:tcW w:type="dxa" w:w="3312"/>
          </w:tcPr>
          <w:p>
            <w:r>
              <w:rPr>
                <w:rFonts w:ascii="Consolas" w:hAnsi="Consolas"/>
                <w:color w:val="8B1A1A"/>
                <w:sz w:val="18"/>
              </w:rPr>
              <w:t>backend/simulator</w:t>
            </w:r>
          </w:p>
        </w:tc>
        <w:tc>
          <w:tcPr>
            <w:tcW w:type="dxa" w:w="3312"/>
          </w:tcPr>
          <w:p>
            <w:r>
              <w:rPr>
                <w:sz w:val="18"/>
              </w:rPr>
              <w:t>Traffic simulator and Blazor (MudBlazor) web app producing demo data</w:t>
            </w:r>
          </w:p>
        </w:tc>
      </w:tr>
      <w:tr>
        <w:tc>
          <w:tcPr>
            <w:tcW w:type="dxa" w:w="3312"/>
          </w:tcPr>
          <w:p>
            <w:r>
              <w:rPr>
                <w:sz w:val="18"/>
              </w:rPr>
              <w:t>CLI</w:t>
            </w:r>
          </w:p>
        </w:tc>
        <w:tc>
          <w:tcPr>
            <w:tcW w:type="dxa" w:w="3312"/>
          </w:tcPr>
          <w:p>
            <w:r>
              <w:rPr>
                <w:rFonts w:ascii="Consolas" w:hAnsi="Consolas"/>
                <w:color w:val="8B1A1A"/>
                <w:sz w:val="18"/>
              </w:rPr>
              <w:t>Kds.Ai.Cli</w:t>
            </w:r>
          </w:p>
        </w:tc>
        <w:tc>
          <w:tcPr>
            <w:tcW w:type="dxa" w:w="3312"/>
          </w:tcPr>
          <w:p>
            <w:r>
              <w:rPr>
                <w:rFonts w:ascii="Consolas" w:hAnsi="Consolas"/>
                <w:color w:val="8B1A1A"/>
                <w:sz w:val="18"/>
              </w:rPr>
              <w:t>anomaly-detector</w:t>
            </w:r>
            <w:r>
              <w:rPr>
                <w:sz w:val="18"/>
              </w:rPr>
              <w:t xml:space="preserve">, </w:t>
            </w:r>
            <w:r>
              <w:rPr>
                <w:rFonts w:ascii="Consolas" w:hAnsi="Consolas"/>
                <w:color w:val="8B1A1A"/>
                <w:sz w:val="18"/>
              </w:rPr>
              <w:t>knowledge-base</w:t>
            </w:r>
            <w:r>
              <w:rPr>
                <w:sz w:val="18"/>
              </w:rPr>
              <w:t xml:space="preserve">, </w:t>
            </w:r>
            <w:r>
              <w:rPr>
                <w:rFonts w:ascii="Consolas" w:hAnsi="Consolas"/>
                <w:color w:val="8B1A1A"/>
                <w:sz w:val="18"/>
              </w:rPr>
              <w:t>schema-migration</w:t>
            </w:r>
            <w:r>
              <w:rPr>
                <w:sz w:val="18"/>
              </w:rPr>
              <w:t xml:space="preserve">, </w:t>
            </w:r>
            <w:r>
              <w:rPr>
                <w:rFonts w:ascii="Consolas" w:hAnsi="Consolas"/>
                <w:color w:val="8B1A1A"/>
                <w:sz w:val="18"/>
              </w:rPr>
              <w:t>warehouse</w:t>
            </w:r>
            <w:r>
              <w:rPr>
                <w:sz w:val="18"/>
              </w:rPr>
              <w:t xml:space="preserve">, </w:t>
            </w:r>
            <w:r>
              <w:rPr>
                <w:rFonts w:ascii="Consolas" w:hAnsi="Consolas"/>
                <w:color w:val="8B1A1A"/>
                <w:sz w:val="18"/>
              </w:rPr>
              <w:t>keycloak</w:t>
            </w:r>
            <w:r>
              <w:rPr>
                <w:sz w:val="18"/>
              </w:rPr>
              <w:t xml:space="preserve"> commands</w:t>
            </w:r>
          </w:p>
        </w:tc>
      </w:tr>
      <w:tr>
        <w:tc>
          <w:tcPr>
            <w:tcW w:type="dxa" w:w="3312"/>
          </w:tcPr>
          <w:p>
            <w:r>
              <w:rPr>
                <w:sz w:val="18"/>
              </w:rPr>
              <w:t>CI/CD</w:t>
            </w:r>
          </w:p>
        </w:tc>
        <w:tc>
          <w:tcPr>
            <w:tcW w:type="dxa" w:w="3312"/>
          </w:tcPr>
          <w:p>
            <w:r>
              <w:rPr>
                <w:rFonts w:ascii="Consolas" w:hAnsi="Consolas"/>
                <w:color w:val="8B1A1A"/>
                <w:sz w:val="18"/>
              </w:rPr>
              <w:t>.github/workflows/</w:t>
            </w:r>
          </w:p>
        </w:tc>
        <w:tc>
          <w:tcPr>
            <w:tcW w:type="dxa" w:w="3312"/>
          </w:tcPr>
          <w:p>
            <w:r>
              <w:rPr>
                <w:sz w:val="18"/>
              </w:rPr>
              <w:t>GitHub Actions: build and test; build images, push to ECR, roll ECS task definitions (backend, front, simulator, C4 diagrams) using an assumed AWS role</w:t>
            </w:r>
          </w:p>
        </w:tc>
      </w:tr>
      <w:tr>
        <w:tc>
          <w:tcPr>
            <w:tcW w:type="dxa" w:w="3312"/>
          </w:tcPr>
          <w:p>
            <w:r>
              <w:rPr>
                <w:sz w:val="18"/>
              </w:rPr>
              <w:t>Observability</w:t>
            </w:r>
          </w:p>
        </w:tc>
        <w:tc>
          <w:tcPr>
            <w:tcW w:type="dxa" w:w="3312"/>
          </w:tcPr>
          <w:p>
            <w:r>
              <w:rPr>
                <w:sz w:val="18"/>
              </w:rPr>
              <w:t>OpenTelemetry</w:t>
            </w:r>
          </w:p>
        </w:tc>
        <w:tc>
          <w:tcPr>
            <w:tcW w:type="dxa" w:w="3312"/>
          </w:tcPr>
          <w:p>
            <w:r>
              <w:rPr>
                <w:sz w:val="18"/>
              </w:rPr>
              <w:t>Traces/metrics from API, HTTP and TickerQ</w:t>
            </w:r>
          </w:p>
        </w:tc>
      </w:tr>
    </w:tbl>
    <w:p/>
    <w:p>
      <w:r>
        <w:t>Not in this repo: AWS infrastructure as code. CI deploys to ECS services that already exist; the infrastructure appears to live in separate mirrored repos (</w:t>
      </w:r>
      <w:r>
        <w:rPr>
          <w:rFonts w:ascii="Consolas" w:hAnsi="Consolas"/>
          <w:color w:val="8B1A1A"/>
          <w:sz w:val="18"/>
        </w:rPr>
        <w:t>KDS.AWS.Devops.Infrastructure</w:t>
      </w:r>
      <w:r>
        <w:t xml:space="preserve">, </w:t>
      </w:r>
      <w:r>
        <w:rPr>
          <w:rFonts w:ascii="Consolas" w:hAnsi="Consolas"/>
          <w:color w:val="8B1A1A"/>
          <w:sz w:val="18"/>
        </w:rPr>
        <w:t>KDS.AWS.Devops.Infrastructure.Core</w:t>
      </w:r>
      <w:r>
        <w:t xml:space="preserve">, </w:t>
      </w:r>
      <w:r>
        <w:rPr>
          <w:rFonts w:ascii="Consolas" w:hAnsi="Consolas"/>
          <w:color w:val="8B1A1A"/>
          <w:sz w:val="18"/>
        </w:rPr>
        <w:t>KDS.Devops</w:t>
      </w:r>
      <w:r>
        <w:t>), which were not reviewed here.</w:t>
      </w:r>
    </w:p>
    <w:p>
      <w:pPr>
        <w:pStyle w:val="Heading2"/>
      </w:pPr>
      <w:r>
        <w:t>Agent roles (docs/README.md)</w:t>
      </w:r>
    </w:p>
    <w:p>
      <w:r>
        <w:t>Orchestrator, Spec Builder (talks to the manager), KB / Semantic agent (what data exists and what it means), Data Access agent (the only component that queries data, read-only and tenant-scoped), Runtime Detector (runs the spec as a runbook: preflight, broad scan, drilldowns), Critic / Verifier (blocks weak alerts), Alert Emitter (dedupe and send).</w:t>
      </w:r>
    </w:p>
    <w:p>
      <w:pPr>
        <w:pStyle w:val="Heading2"/>
      </w:pPr>
      <w:r>
        <w:t>Data platform (docs/ETL.md, docs/flows/etl-ingestion.md)</w:t>
      </w:r>
    </w:p>
    <w:p>
      <w:r>
        <w:t>Four ingestion modes (file upload, API push, API pull, CDC) converge into one path:</w:t>
      </w:r>
    </w:p>
    <w:p>
      <w:r>
        <w:rPr>
          <w:rFonts w:ascii="Consolas" w:hAnsi="Consolas"/>
          <w:color w:val="8B1A1A"/>
          <w:sz w:val="18"/>
        </w:rPr>
        <w:t>source -&gt; S3 raw (immutable) -&gt; normalize to Parquet (S3 load) -&gt; Redshift COPY into tenant staging -&gt; SQL transform into curated -&gt; serving views -&gt; UNLOAD curated Parquet to S3 -&gt; Athena for cross-tenant queries</w:t>
      </w:r>
    </w:p>
    <w:p>
      <w:r>
        <w:t>Rules: the pipeline owns correctness (agents never fix data at query time); checkpoints advance only after a batch succeeds end to end; failed packages are kept for replay; each tenant has its own Redshift database.</w:t>
      </w:r>
    </w:p>
    <w:p>
      <w:pPr>
        <w:pStyle w:val="Heading1"/>
      </w:pPr>
      <w:r>
        <w:t>3. Brink POS path today (summary; the separate Brink pipeline analysis goes deeper)</w:t>
      </w:r>
    </w:p>
    <w:p>
      <w:pPr>
        <w:pStyle w:val="ListBullet"/>
      </w:pPr>
      <w:r>
        <w:t xml:space="preserve">Endpoints: </w:t>
      </w:r>
      <w:r>
        <w:rPr>
          <w:rFonts w:ascii="Consolas" w:hAnsi="Consolas"/>
          <w:color w:val="8B1A1A"/>
          <w:sz w:val="18"/>
        </w:rPr>
        <w:t>Sales2.GetOrders</w:t>
      </w:r>
      <w:r>
        <w:t xml:space="preserve">, </w:t>
      </w:r>
      <w:r>
        <w:rPr>
          <w:rFonts w:ascii="Consolas" w:hAnsi="Consolas"/>
          <w:color w:val="8B1A1A"/>
          <w:sz w:val="18"/>
        </w:rPr>
        <w:t>Labor.GetShifts</w:t>
      </w:r>
      <w:r>
        <w:t xml:space="preserve">, </w:t>
      </w:r>
      <w:r>
        <w:rPr>
          <w:rFonts w:ascii="Consolas" w:hAnsi="Consolas"/>
          <w:color w:val="8B1A1A"/>
          <w:sz w:val="18"/>
        </w:rPr>
        <w:t>Settings2.GetItems</w:t>
      </w:r>
      <w:r>
        <w:t xml:space="preserve">, </w:t>
      </w:r>
      <w:r>
        <w:rPr>
          <w:rFonts w:ascii="Consolas" w:hAnsi="Consolas"/>
          <w:color w:val="8B1A1A"/>
          <w:sz w:val="18"/>
        </w:rPr>
        <w:t>Settings2.GetEmployees</w:t>
      </w:r>
      <w:r>
        <w:t xml:space="preserve">, </w:t>
      </w:r>
      <w:r>
        <w:rPr>
          <w:rFonts w:ascii="Consolas" w:hAnsi="Consolas"/>
          <w:color w:val="8B1A1A"/>
          <w:sz w:val="18"/>
        </w:rPr>
        <w:t>Settings2.GetJobs</w:t>
      </w:r>
      <w:r>
        <w:t xml:space="preserve"> (</w:t>
      </w:r>
      <w:r>
        <w:rPr>
          <w:rFonts w:ascii="Consolas" w:hAnsi="Consolas"/>
          <w:color w:val="8B1A1A"/>
          <w:sz w:val="18"/>
        </w:rPr>
        <w:t>GetDestinations</w:t>
      </w:r>
      <w:r>
        <w:t xml:space="preserve"> used as a lookup).</w:t>
      </w:r>
    </w:p>
    <w:p>
      <w:pPr>
        <w:pStyle w:val="ListBullet"/>
      </w:pPr>
      <w:r>
        <w:t xml:space="preserve">Stages: </w:t>
      </w:r>
      <w:r>
        <w:rPr>
          <w:rFonts w:ascii="Consolas" w:hAnsi="Consolas"/>
          <w:color w:val="8B1A1A"/>
          <w:sz w:val="18"/>
        </w:rPr>
        <w:t>extract_raw</w:t>
      </w:r>
      <w:r>
        <w:t xml:space="preserve"> -&gt; </w:t>
      </w:r>
      <w:r>
        <w:rPr>
          <w:rFonts w:ascii="Consolas" w:hAnsi="Consolas"/>
          <w:color w:val="8B1A1A"/>
          <w:sz w:val="18"/>
        </w:rPr>
        <w:t>normalize_load</w:t>
      </w:r>
      <w:r>
        <w:t xml:space="preserve"> -&gt; </w:t>
      </w:r>
      <w:r>
        <w:rPr>
          <w:rFonts w:ascii="Consolas" w:hAnsi="Consolas"/>
          <w:color w:val="8B1A1A"/>
          <w:sz w:val="18"/>
        </w:rPr>
        <w:t>load_to_staging</w:t>
      </w:r>
      <w:r>
        <w:t xml:space="preserve"> -&gt; </w:t>
      </w:r>
      <w:r>
        <w:rPr>
          <w:rFonts w:ascii="Consolas" w:hAnsi="Consolas"/>
          <w:color w:val="8B1A1A"/>
          <w:sz w:val="18"/>
        </w:rPr>
        <w:t>staging_to_curated</w:t>
      </w:r>
      <w:r>
        <w:t xml:space="preserve"> -&gt; </w:t>
      </w:r>
      <w:r>
        <w:rPr>
          <w:rFonts w:ascii="Consolas" w:hAnsi="Consolas"/>
          <w:color w:val="8B1A1A"/>
          <w:sz w:val="18"/>
        </w:rPr>
        <w:t>curated_to_s3</w:t>
      </w:r>
      <w:r>
        <w:t xml:space="preserve"> (export of </w:t>
      </w:r>
      <w:r>
        <w:rPr>
          <w:rFonts w:ascii="Consolas" w:hAnsi="Consolas"/>
          <w:color w:val="8B1A1A"/>
          <w:sz w:val="18"/>
        </w:rPr>
        <w:t>pos_orders</w:t>
      </w:r>
      <w:r>
        <w:t xml:space="preserve">, </w:t>
      </w:r>
      <w:r>
        <w:rPr>
          <w:rFonts w:ascii="Consolas" w:hAnsi="Consolas"/>
          <w:color w:val="8B1A1A"/>
          <w:sz w:val="18"/>
        </w:rPr>
        <w:t>pos_order_items</w:t>
      </w:r>
      <w:r>
        <w:t>).</w:t>
      </w:r>
    </w:p>
    <w:p>
      <w:pPr>
        <w:pStyle w:val="ListBullet"/>
      </w:pPr>
      <w:r>
        <w:t>About 31 staging tables; 7 curated tables (</w:t>
      </w:r>
      <w:r>
        <w:rPr>
          <w:rFonts w:ascii="Consolas" w:hAnsi="Consolas"/>
          <w:color w:val="8B1A1A"/>
          <w:sz w:val="18"/>
        </w:rPr>
        <w:t>pos_orders</w:t>
      </w:r>
      <w:r>
        <w:t xml:space="preserve">, </w:t>
      </w:r>
      <w:r>
        <w:rPr>
          <w:rFonts w:ascii="Consolas" w:hAnsi="Consolas"/>
          <w:color w:val="8B1A1A"/>
          <w:sz w:val="18"/>
        </w:rPr>
        <w:t>pos_order_items</w:t>
      </w:r>
      <w:r>
        <w:t xml:space="preserve">, </w:t>
      </w:r>
      <w:r>
        <w:rPr>
          <w:rFonts w:ascii="Consolas" w:hAnsi="Consolas"/>
          <w:color w:val="8B1A1A"/>
          <w:sz w:val="18"/>
        </w:rPr>
        <w:t>pos_menu_items</w:t>
      </w:r>
      <w:r>
        <w:t xml:space="preserve">, </w:t>
      </w:r>
      <w:r>
        <w:rPr>
          <w:rFonts w:ascii="Consolas" w:hAnsi="Consolas"/>
          <w:color w:val="8B1A1A"/>
          <w:sz w:val="18"/>
        </w:rPr>
        <w:t>employees</w:t>
      </w:r>
      <w:r>
        <w:t xml:space="preserve">, </w:t>
      </w:r>
      <w:r>
        <w:rPr>
          <w:rFonts w:ascii="Consolas" w:hAnsi="Consolas"/>
          <w:color w:val="8B1A1A"/>
          <w:sz w:val="18"/>
        </w:rPr>
        <w:t>pos_jobs</w:t>
      </w:r>
      <w:r>
        <w:t xml:space="preserve">, </w:t>
      </w:r>
      <w:r>
        <w:rPr>
          <w:rFonts w:ascii="Consolas" w:hAnsi="Consolas"/>
          <w:color w:val="8B1A1A"/>
          <w:sz w:val="18"/>
        </w:rPr>
        <w:t>labor_shifts</w:t>
      </w:r>
      <w:r>
        <w:t xml:space="preserve">, </w:t>
      </w:r>
      <w:r>
        <w:rPr>
          <w:rFonts w:ascii="Consolas" w:hAnsi="Consolas"/>
          <w:color w:val="8B1A1A"/>
          <w:sz w:val="18"/>
        </w:rPr>
        <w:t>pos_destinations</w:t>
      </w:r>
      <w:r>
        <w:t>).</w:t>
      </w:r>
    </w:p>
    <w:p>
      <w:pPr>
        <w:pStyle w:val="ListBullet"/>
      </w:pPr>
      <w:r>
        <w:t xml:space="preserve">Scheduling exists in code: </w:t>
      </w:r>
      <w:r>
        <w:rPr>
          <w:rFonts w:ascii="Consolas" w:hAnsi="Consolas"/>
          <w:color w:val="8B1A1A"/>
          <w:sz w:val="18"/>
        </w:rPr>
        <w:t>BrinkCronSyncService</w:t>
      </w:r>
      <w:r>
        <w:t xml:space="preserve"> registers one TickerQ cron per enabled Brink credential. Default is </w:t>
      </w:r>
      <w:r>
        <w:rPr>
          <w:rFonts w:ascii="Consolas" w:hAnsi="Consolas"/>
          <w:color w:val="8B1A1A"/>
          <w:sz w:val="18"/>
        </w:rPr>
        <w:t>0 0 1 * * *</w:t>
      </w:r>
      <w:r>
        <w:t xml:space="preserve"> (01:00 America/New_York) for business date minus 1, with a 2-day lookback (maximum 7). So the code is batch daily, not real time. Where it feels manual today, the likely causes are deployment and configuration (credential disabled, schedule off, worker not running in the deployed environment), not missing code. That needs confirming in AWS.</w:t>
      </w:r>
    </w:p>
    <w:p>
      <w:pPr>
        <w:pStyle w:val="Heading1"/>
      </w:pPr>
      <w:r>
        <w:t>4. How to onboard a customer (every step)</w:t>
      </w:r>
    </w:p>
    <w:p>
      <w:r>
        <w:t>From the code (</w:t>
      </w:r>
      <w:r>
        <w:rPr>
          <w:rFonts w:ascii="Consolas" w:hAnsi="Consolas"/>
          <w:color w:val="8B1A1A"/>
          <w:sz w:val="18"/>
        </w:rPr>
        <w:t>AdminCustomerEndpoints</w:t>
      </w:r>
      <w:r>
        <w:t xml:space="preserve">, </w:t>
      </w:r>
      <w:r>
        <w:rPr>
          <w:rFonts w:ascii="Consolas" w:hAnsi="Consolas"/>
          <w:color w:val="8B1A1A"/>
          <w:sz w:val="18"/>
        </w:rPr>
        <w:t>CustomerEtlProvisioningService</w:t>
      </w:r>
      <w:r>
        <w:t xml:space="preserve">, </w:t>
      </w:r>
      <w:r>
        <w:rPr>
          <w:rFonts w:ascii="Consolas" w:hAnsi="Consolas"/>
          <w:color w:val="8B1A1A"/>
          <w:sz w:val="18"/>
        </w:rPr>
        <w:t>TenantWarehouseBootstrapper</w:t>
      </w:r>
      <w:r>
        <w:t xml:space="preserve">, the </w:t>
      </w:r>
      <w:r>
        <w:rPr>
          <w:rFonts w:ascii="Consolas" w:hAnsi="Consolas"/>
          <w:color w:val="8B1A1A"/>
          <w:sz w:val="18"/>
        </w:rPr>
        <w:t>CustomerCredentialTriggeredProvisioning</w:t>
      </w:r>
      <w:r>
        <w:t xml:space="preserve"> spec) and the docs:</w:t>
      </w:r>
    </w:p>
    <w:p>
      <w:pPr>
        <w:spacing w:after="40"/>
        <w:ind w:left="432" w:hanging="360"/>
      </w:pPr>
      <w:r>
        <w:t xml:space="preserve">1.  </w:t>
      </w:r>
      <w:r>
        <w:rPr>
          <w:b/>
        </w:rPr>
        <w:t>Commercial and data prerequisites.</w:t>
      </w:r>
      <w:r>
        <w:t xml:space="preserve"> Signed agreement; confirm which sources the store runs (Brink, Logic Controls KDS, Aloha, LabPOS, files). Check the franchise agreement for data and third-party software restrictions (see the tracker's Franchise Tech &amp; Data tab).</w:t>
      </w:r>
    </w:p>
    <w:p>
      <w:pPr>
        <w:spacing w:after="40"/>
        <w:ind w:left="432" w:hanging="360"/>
      </w:pPr>
      <w:r>
        <w:t xml:space="preserve">2.  </w:t>
      </w:r>
      <w:r>
        <w:rPr>
          <w:b/>
        </w:rPr>
        <w:t>Collect source access.</w:t>
      </w:r>
      <w:r>
        <w:t xml:space="preserve"> For Brink: access token, location token(s), service URL, per location. For KDS CDC: cross-account SQS FIFO and Debezium connector on the customer side. For files: Fleet landing access and a manifest contract.</w:t>
      </w:r>
    </w:p>
    <w:p>
      <w:pPr>
        <w:spacing w:after="40"/>
        <w:ind w:left="432" w:hanging="360"/>
      </w:pPr>
      <w:r>
        <w:t xml:space="preserve">3.  </w:t>
      </w:r>
      <w:r>
        <w:rPr>
          <w:b/>
        </w:rPr>
        <w:t>Create the customer</w:t>
      </w:r>
      <w:r>
        <w:t xml:space="preserve"> (admin API / admin UI): company, solutions enabled (</w:t>
      </w:r>
      <w:r>
        <w:rPr>
          <w:rFonts w:ascii="Consolas" w:hAnsi="Consolas"/>
          <w:color w:val="8B1A1A"/>
          <w:sz w:val="18"/>
        </w:rPr>
        <w:t>PUT /customers/{id}/solutions</w:t>
      </w:r>
      <w:r>
        <w:t>). This creates the tenant id.</w:t>
      </w:r>
    </w:p>
    <w:p>
      <w:pPr>
        <w:spacing w:after="40"/>
        <w:ind w:left="432" w:hanging="360"/>
      </w:pPr>
      <w:r>
        <w:t xml:space="preserve">4.  </w:t>
      </w:r>
      <w:r>
        <w:rPr>
          <w:b/>
        </w:rPr>
        <w:t>Create users and roles in Keycloak</w:t>
      </w:r>
      <w:r>
        <w:t xml:space="preserve"> and link them to the customer (membership drives tenant scoping; the front end never sets tenant headers itself).</w:t>
      </w:r>
    </w:p>
    <w:p>
      <w:pPr>
        <w:spacing w:after="40"/>
        <w:ind w:left="432" w:hanging="360"/>
      </w:pPr>
      <w:r>
        <w:t xml:space="preserve">5.  </w:t>
      </w:r>
      <w:r>
        <w:rPr>
          <w:b/>
        </w:rPr>
        <w:t>Add the source credential</w:t>
      </w:r>
      <w:r>
        <w:t xml:space="preserve"> (</w:t>
      </w:r>
      <w:r>
        <w:rPr>
          <w:rFonts w:ascii="Consolas" w:hAnsi="Consolas"/>
          <w:color w:val="8B1A1A"/>
          <w:sz w:val="18"/>
        </w:rPr>
        <w:t>POST /customers/{id}/api-keys</w:t>
      </w:r>
      <w:r>
        <w:t>). Credentials are encrypted at rest (data-protection envelope). Optional custom headers and a schedule (time zone, cron, lag, lookback, enabled) are stored with it.</w:t>
      </w:r>
    </w:p>
    <w:p>
      <w:pPr>
        <w:spacing w:after="40"/>
        <w:ind w:left="432" w:hanging="360"/>
      </w:pPr>
      <w:r>
        <w:t xml:space="preserve">6.  </w:t>
      </w:r>
      <w:r>
        <w:rPr>
          <w:b/>
        </w:rPr>
        <w:t>Provisioning runs.</w:t>
      </w:r>
      <w:r>
        <w:t xml:space="preserve"> Saving a credential provisions the tenant warehouse: register the Redshift database, then bootstrap </w:t>
      </w:r>
      <w:r>
        <w:rPr>
          <w:rFonts w:ascii="Consolas" w:hAnsi="Consolas"/>
          <w:color w:val="8B1A1A"/>
          <w:sz w:val="18"/>
        </w:rPr>
        <w:t>staging</w:t>
      </w:r>
      <w:r>
        <w:t xml:space="preserve"> tables only for enabled sources plus all </w:t>
      </w:r>
      <w:r>
        <w:rPr>
          <w:rFonts w:ascii="Consolas" w:hAnsi="Consolas"/>
          <w:color w:val="8B1A1A"/>
          <w:sz w:val="18"/>
        </w:rPr>
        <w:t>curated</w:t>
      </w:r>
      <w:r>
        <w:t xml:space="preserve"> and </w:t>
      </w:r>
      <w:r>
        <w:rPr>
          <w:rFonts w:ascii="Consolas" w:hAnsi="Consolas"/>
          <w:color w:val="8B1A1A"/>
          <w:sz w:val="18"/>
        </w:rPr>
        <w:t>serving</w:t>
      </w:r>
      <w:r>
        <w:t xml:space="preserve"> objects. On </w:t>
      </w:r>
      <w:r>
        <w:rPr>
          <w:rFonts w:ascii="Consolas" w:hAnsi="Consolas"/>
          <w:color w:val="8B1A1A"/>
          <w:sz w:val="18"/>
        </w:rPr>
        <w:t>main</w:t>
      </w:r>
      <w:r>
        <w:t xml:space="preserve"> this blocks customer create/update for about 30 seconds; the spec moves it to an asynchronous TickerQ job with visible status.</w:t>
      </w:r>
    </w:p>
    <w:p>
      <w:pPr>
        <w:spacing w:after="40"/>
        <w:ind w:left="432" w:hanging="360"/>
      </w:pPr>
      <w:r>
        <w:t xml:space="preserve">7.  </w:t>
      </w:r>
      <w:r>
        <w:rPr>
          <w:b/>
        </w:rPr>
        <w:t>Schedule registration.</w:t>
      </w:r>
      <w:r>
        <w:t xml:space="preserve"> On startup and on change, the cron sync service creates or updates the TickerQ cron for the credential.</w:t>
      </w:r>
    </w:p>
    <w:p>
      <w:pPr>
        <w:spacing w:after="40"/>
        <w:ind w:left="432" w:hanging="360"/>
      </w:pPr>
      <w:r>
        <w:t xml:space="preserve">8.  </w:t>
      </w:r>
      <w:r>
        <w:rPr>
          <w:b/>
        </w:rPr>
        <w:t>Backfill.</w:t>
      </w:r>
      <w:r>
        <w:t xml:space="preserve"> Run the ETL for historical business dates (lookback is capped at 7 days per run; longer history needs repeated or replay runs).</w:t>
      </w:r>
    </w:p>
    <w:p>
      <w:pPr>
        <w:spacing w:after="40"/>
        <w:ind w:left="432" w:hanging="360"/>
      </w:pPr>
      <w:r>
        <w:t xml:space="preserve">9.  </w:t>
      </w:r>
      <w:r>
        <w:rPr>
          <w:b/>
        </w:rPr>
        <w:t>Verify data.</w:t>
      </w:r>
      <w:r>
        <w:t xml:space="preserve"> Row counts per staging and curated table, freshness, failed packages empty, curated Parquet present in S3.</w:t>
      </w:r>
    </w:p>
    <w:p>
      <w:pPr>
        <w:spacing w:after="40"/>
        <w:ind w:left="432" w:hanging="360"/>
      </w:pPr>
      <w:r>
        <w:t xml:space="preserve">10.  </w:t>
      </w:r>
      <w:r>
        <w:rPr>
          <w:b/>
        </w:rPr>
        <w:t>Knowledge base.</w:t>
      </w:r>
      <w:r>
        <w:t xml:space="preserve"> Run KB generation (</w:t>
      </w:r>
      <w:r>
        <w:rPr>
          <w:rFonts w:ascii="Consolas" w:hAnsi="Consolas"/>
          <w:color w:val="8B1A1A"/>
          <w:sz w:val="18"/>
        </w:rPr>
        <w:t>knowledge-base</w:t>
      </w:r>
      <w:r>
        <w:t xml:space="preserve"> CLI): capabilities manifest (tables, joins, units, freshness), KPI catalog from the restaurant's manuals and SOPs, document index.</w:t>
      </w:r>
    </w:p>
    <w:p>
      <w:pPr>
        <w:spacing w:after="40"/>
        <w:ind w:left="432" w:hanging="360"/>
      </w:pPr>
      <w:r>
        <w:t xml:space="preserve">11.  </w:t>
      </w:r>
      <w:r>
        <w:rPr>
          <w:b/>
        </w:rPr>
        <w:t>Monitors.</w:t>
      </w:r>
      <w:r>
        <w:t xml:space="preserve"> Seed or author MonitorSpecs with the manager; backtest; approve and enable; set cron.</w:t>
      </w:r>
    </w:p>
    <w:p>
      <w:pPr>
        <w:spacing w:after="40"/>
        <w:ind w:left="432" w:hanging="360"/>
      </w:pPr>
      <w:r>
        <w:t xml:space="preserve">12.  </w:t>
      </w:r>
      <w:r>
        <w:rPr>
          <w:b/>
        </w:rPr>
        <w:t>Alerts.</w:t>
      </w:r>
      <w:r>
        <w:t xml:space="preserve"> Configure recipients (email, SMS); confirm a test alert arrives.</w:t>
      </w:r>
    </w:p>
    <w:p>
      <w:pPr>
        <w:spacing w:after="40"/>
        <w:ind w:left="432" w:hanging="360"/>
      </w:pPr>
      <w:r>
        <w:t xml:space="preserve">13.  </w:t>
      </w:r>
      <w:r>
        <w:rPr>
          <w:b/>
        </w:rPr>
        <w:t>Hand over.</w:t>
      </w:r>
      <w:r>
        <w:t xml:space="preserve"> Manager login, short training, support contact.</w:t>
      </w:r>
    </w:p>
    <w:p>
      <w:r>
        <w:t xml:space="preserve">Not yet automated or productized: self-service onboarding, a tenant admin control plane (designed on branch </w:t>
      </w:r>
      <w:r>
        <w:rPr>
          <w:rFonts w:ascii="Consolas" w:hAnsi="Consolas"/>
          <w:color w:val="8B1A1A"/>
          <w:sz w:val="18"/>
        </w:rPr>
        <w:t>tenat-admin</w:t>
      </w:r>
      <w:r>
        <w:t xml:space="preserve">, not built), store groups and multi-store access, Fleet schema approval (branch </w:t>
      </w:r>
      <w:r>
        <w:rPr>
          <w:rFonts w:ascii="Consolas" w:hAnsi="Consolas"/>
          <w:color w:val="8B1A1A"/>
          <w:sz w:val="18"/>
        </w:rPr>
        <w:t>feature/fleet-import</w:t>
      </w:r>
      <w:r>
        <w:t>), and a documented runbook for offboarding.</w:t>
      </w:r>
    </w:p>
    <w:p>
      <w:pPr>
        <w:pStyle w:val="Heading1"/>
      </w:pPr>
      <w:r>
        <w:t>5. Tools used to process data</w:t>
      </w:r>
    </w:p>
    <w:tbl>
      <w:tblPr>
        <w:tblStyle w:val="TableGrid"/>
        <w:tblW w:type="auto" w:w="0"/>
        <w:tblLook w:firstColumn="1" w:firstRow="1" w:lastColumn="0" w:lastRow="0" w:noHBand="0" w:noVBand="1" w:val="04A0"/>
      </w:tblPr>
      <w:tblGrid>
        <w:gridCol w:w="4968"/>
        <w:gridCol w:w="4968"/>
      </w:tblGrid>
      <w:tr>
        <w:tc>
          <w:tcPr>
            <w:tcW w:type="dxa" w:w="4968"/>
            <w:shd w:val="clear" w:color="auto" w:fill="1F4E79"/>
          </w:tcPr>
          <w:p>
            <w:r>
              <w:rPr>
                <w:b/>
                <w:color w:val="FFFFFF"/>
                <w:sz w:val="18"/>
              </w:rPr>
              <w:t>Purpose</w:t>
            </w:r>
          </w:p>
        </w:tc>
        <w:tc>
          <w:tcPr>
            <w:tcW w:type="dxa" w:w="4968"/>
            <w:shd w:val="clear" w:color="auto" w:fill="1F4E79"/>
          </w:tcPr>
          <w:p>
            <w:r>
              <w:rPr>
                <w:b/>
                <w:color w:val="FFFFFF"/>
                <w:sz w:val="18"/>
              </w:rPr>
              <w:t>Tool</w:t>
            </w:r>
          </w:p>
        </w:tc>
      </w:tr>
      <w:tr>
        <w:tc>
          <w:tcPr>
            <w:tcW w:type="dxa" w:w="4968"/>
          </w:tcPr>
          <w:p>
            <w:r>
              <w:rPr>
                <w:sz w:val="18"/>
              </w:rPr>
              <w:t>Source extraction</w:t>
            </w:r>
          </w:p>
        </w:tc>
        <w:tc>
          <w:tcPr>
            <w:tcW w:type="dxa" w:w="4968"/>
          </w:tcPr>
          <w:p>
            <w:r>
              <w:rPr>
                <w:sz w:val="18"/>
              </w:rPr>
              <w:t>Brink SOAP client (Polly resilience), Debezium CDC over AWS SQS FIFO, Fleet S3 file landing</w:t>
            </w:r>
          </w:p>
        </w:tc>
      </w:tr>
      <w:tr>
        <w:tc>
          <w:tcPr>
            <w:tcW w:type="dxa" w:w="4968"/>
          </w:tcPr>
          <w:p>
            <w:r>
              <w:rPr>
                <w:sz w:val="18"/>
              </w:rPr>
              <w:t>Raw and lake storage</w:t>
            </w:r>
          </w:p>
        </w:tc>
        <w:tc>
          <w:tcPr>
            <w:tcW w:type="dxa" w:w="4968"/>
          </w:tcPr>
          <w:p>
            <w:r>
              <w:rPr>
                <w:sz w:val="18"/>
              </w:rPr>
              <w:t>Amazon S3 (AWSSDK.S3)</w:t>
            </w:r>
          </w:p>
        </w:tc>
      </w:tr>
      <w:tr>
        <w:tc>
          <w:tcPr>
            <w:tcW w:type="dxa" w:w="4968"/>
          </w:tcPr>
          <w:p>
            <w:r>
              <w:rPr>
                <w:sz w:val="18"/>
              </w:rPr>
              <w:t>Normalization</w:t>
            </w:r>
          </w:p>
        </w:tc>
        <w:tc>
          <w:tcPr>
            <w:tcW w:type="dxa" w:w="4968"/>
          </w:tcPr>
          <w:p>
            <w:r>
              <w:rPr>
                <w:sz w:val="18"/>
              </w:rPr>
              <w:t>Parquet.Net (XML/JSON to Parquet), System.IO.Hashing for checksums</w:t>
            </w:r>
          </w:p>
        </w:tc>
      </w:tr>
      <w:tr>
        <w:tc>
          <w:tcPr>
            <w:tcW w:type="dxa" w:w="4968"/>
          </w:tcPr>
          <w:p>
            <w:r>
              <w:rPr>
                <w:sz w:val="18"/>
              </w:rPr>
              <w:t>Warehouse load</w:t>
            </w:r>
          </w:p>
        </w:tc>
        <w:tc>
          <w:tcPr>
            <w:tcW w:type="dxa" w:w="4968"/>
          </w:tcPr>
          <w:p>
            <w:r>
              <w:rPr>
                <w:sz w:val="18"/>
              </w:rPr>
              <w:t xml:space="preserve">Redshift </w:t>
            </w:r>
            <w:r>
              <w:rPr>
                <w:rFonts w:ascii="Consolas" w:hAnsi="Consolas"/>
                <w:color w:val="8B1A1A"/>
                <w:sz w:val="18"/>
              </w:rPr>
              <w:t>COPY</w:t>
            </w:r>
            <w:r>
              <w:rPr>
                <w:sz w:val="18"/>
              </w:rPr>
              <w:t xml:space="preserve"> from S3 Parquet; Npgsql in Redshift compatibility mode</w:t>
            </w:r>
          </w:p>
        </w:tc>
      </w:tr>
      <w:tr>
        <w:tc>
          <w:tcPr>
            <w:tcW w:type="dxa" w:w="4968"/>
          </w:tcPr>
          <w:p>
            <w:r>
              <w:rPr>
                <w:sz w:val="18"/>
              </w:rPr>
              <w:t>Transform</w:t>
            </w:r>
          </w:p>
        </w:tc>
        <w:tc>
          <w:tcPr>
            <w:tcW w:type="dxa" w:w="4968"/>
          </w:tcPr>
          <w:p>
            <w:r>
              <w:rPr>
                <w:sz w:val="18"/>
              </w:rPr>
              <w:t>Embedded SQL (</w:t>
            </w:r>
            <w:r>
              <w:rPr>
                <w:rFonts w:ascii="Consolas" w:hAnsi="Consolas"/>
                <w:color w:val="8B1A1A"/>
                <w:sz w:val="18"/>
              </w:rPr>
              <w:t>DELETE</w:t>
            </w:r>
            <w:r>
              <w:rPr>
                <w:sz w:val="18"/>
              </w:rPr>
              <w:t xml:space="preserve"> then </w:t>
            </w:r>
            <w:r>
              <w:rPr>
                <w:rFonts w:ascii="Consolas" w:hAnsi="Consolas"/>
                <w:color w:val="8B1A1A"/>
                <w:sz w:val="18"/>
              </w:rPr>
              <w:t>INSERT</w:t>
            </w:r>
            <w:r>
              <w:rPr>
                <w:sz w:val="18"/>
              </w:rPr>
              <w:t xml:space="preserve"> per tenant and date, inside one transaction)</w:t>
            </w:r>
          </w:p>
        </w:tc>
      </w:tr>
      <w:tr>
        <w:tc>
          <w:tcPr>
            <w:tcW w:type="dxa" w:w="4968"/>
          </w:tcPr>
          <w:p>
            <w:r>
              <w:rPr>
                <w:sz w:val="18"/>
              </w:rPr>
              <w:t>Export</w:t>
            </w:r>
          </w:p>
        </w:tc>
        <w:tc>
          <w:tcPr>
            <w:tcW w:type="dxa" w:w="4968"/>
          </w:tcPr>
          <w:p>
            <w:r>
              <w:rPr>
                <w:sz w:val="18"/>
              </w:rPr>
              <w:t xml:space="preserve">Redshift </w:t>
            </w:r>
            <w:r>
              <w:rPr>
                <w:rFonts w:ascii="Consolas" w:hAnsi="Consolas"/>
                <w:color w:val="8B1A1A"/>
                <w:sz w:val="18"/>
              </w:rPr>
              <w:t>UNLOAD</w:t>
            </w:r>
            <w:r>
              <w:rPr>
                <w:sz w:val="18"/>
              </w:rPr>
              <w:t xml:space="preserve"> to S3 Parquet</w:t>
            </w:r>
          </w:p>
        </w:tc>
      </w:tr>
      <w:tr>
        <w:tc>
          <w:tcPr>
            <w:tcW w:type="dxa" w:w="4968"/>
          </w:tcPr>
          <w:p>
            <w:r>
              <w:rPr>
                <w:sz w:val="18"/>
              </w:rPr>
              <w:t>Cross-tenant query</w:t>
            </w:r>
          </w:p>
        </w:tc>
        <w:tc>
          <w:tcPr>
            <w:tcW w:type="dxa" w:w="4968"/>
          </w:tcPr>
          <w:p>
            <w:r>
              <w:rPr>
                <w:sz w:val="18"/>
              </w:rPr>
              <w:t>Athena + Glue catalog (designed, not built)</w:t>
            </w:r>
          </w:p>
        </w:tc>
      </w:tr>
      <w:tr>
        <w:tc>
          <w:tcPr>
            <w:tcW w:type="dxa" w:w="4968"/>
          </w:tcPr>
          <w:p>
            <w:r>
              <w:rPr>
                <w:sz w:val="18"/>
              </w:rPr>
              <w:t>Scheduling</w:t>
            </w:r>
          </w:p>
        </w:tc>
        <w:tc>
          <w:tcPr>
            <w:tcW w:type="dxa" w:w="4968"/>
          </w:tcPr>
          <w:p>
            <w:r>
              <w:rPr>
                <w:sz w:val="18"/>
              </w:rPr>
              <w:t>TickerQ cron and time tickers, Cronos</w:t>
            </w:r>
          </w:p>
        </w:tc>
      </w:tr>
      <w:tr>
        <w:tc>
          <w:tcPr>
            <w:tcW w:type="dxa" w:w="4968"/>
          </w:tcPr>
          <w:p>
            <w:r>
              <w:rPr>
                <w:sz w:val="18"/>
              </w:rPr>
              <w:t>Schema</w:t>
            </w:r>
          </w:p>
        </w:tc>
        <w:tc>
          <w:tcPr>
            <w:tcW w:type="dxa" w:w="4968"/>
          </w:tcPr>
          <w:p>
            <w:r>
              <w:rPr>
                <w:sz w:val="18"/>
              </w:rPr>
              <w:t xml:space="preserve">EF Core migrations (app DB, 26+), </w:t>
            </w:r>
            <w:r>
              <w:rPr>
                <w:rFonts w:ascii="Consolas" w:hAnsi="Consolas"/>
                <w:color w:val="8B1A1A"/>
                <w:sz w:val="18"/>
              </w:rPr>
              <w:t>efcpt</w:t>
            </w:r>
            <w:r>
              <w:rPr>
                <w:sz w:val="18"/>
              </w:rPr>
              <w:t xml:space="preserve"> reverse-engineered warehouse model, warehouse bootstrap SQL</w:t>
            </w:r>
          </w:p>
        </w:tc>
      </w:tr>
      <w:tr>
        <w:tc>
          <w:tcPr>
            <w:tcW w:type="dxa" w:w="4968"/>
          </w:tcPr>
          <w:p>
            <w:r>
              <w:rPr>
                <w:sz w:val="18"/>
              </w:rPr>
              <w:t>Knowledge base</w:t>
            </w:r>
          </w:p>
        </w:tc>
        <w:tc>
          <w:tcPr>
            <w:tcW w:type="dxa" w:w="4968"/>
          </w:tcPr>
          <w:p>
            <w:r>
              <w:rPr>
                <w:sz w:val="18"/>
              </w:rPr>
              <w:t>MarkItDown, Markdig, Microsoft.Extensions.DataIngestion, tokenizers, pgvector</w:t>
            </w:r>
          </w:p>
        </w:tc>
      </w:tr>
      <w:tr>
        <w:tc>
          <w:tcPr>
            <w:tcW w:type="dxa" w:w="4968"/>
          </w:tcPr>
          <w:p>
            <w:r>
              <w:rPr>
                <w:sz w:val="18"/>
              </w:rPr>
              <w:t>Models</w:t>
            </w:r>
          </w:p>
        </w:tc>
        <w:tc>
          <w:tcPr>
            <w:tcW w:type="dxa" w:w="4968"/>
          </w:tcPr>
          <w:p>
            <w:r>
              <w:rPr>
                <w:sz w:val="18"/>
              </w:rPr>
              <w:t>Amazon Bedrock via the Microsoft model-abstraction libraries</w:t>
            </w:r>
          </w:p>
        </w:tc>
      </w:tr>
      <w:tr>
        <w:tc>
          <w:tcPr>
            <w:tcW w:type="dxa" w:w="4968"/>
          </w:tcPr>
          <w:p>
            <w:r>
              <w:rPr>
                <w:sz w:val="18"/>
              </w:rPr>
              <w:t>Local stand-ins</w:t>
            </w:r>
          </w:p>
        </w:tc>
        <w:tc>
          <w:tcPr>
            <w:tcW w:type="dxa" w:w="4968"/>
          </w:tcPr>
          <w:p>
            <w:r>
              <w:rPr>
                <w:sz w:val="18"/>
              </w:rPr>
              <w:t>Postgres for Redshift, LocalStack for S3/SQS (used on spensara-sandbox)</w:t>
            </w:r>
          </w:p>
        </w:tc>
      </w:tr>
      <w:tr>
        <w:tc>
          <w:tcPr>
            <w:tcW w:type="dxa" w:w="4968"/>
          </w:tcPr>
          <w:p>
            <w:r>
              <w:rPr>
                <w:sz w:val="18"/>
              </w:rPr>
              <w:t>API testing</w:t>
            </w:r>
          </w:p>
        </w:tc>
        <w:tc>
          <w:tcPr>
            <w:tcW w:type="dxa" w:w="4968"/>
          </w:tcPr>
          <w:p>
            <w:r>
              <w:rPr>
                <w:sz w:val="18"/>
              </w:rPr>
              <w:t>Bruno collections (</w:t>
            </w:r>
            <w:r>
              <w:rPr>
                <w:rFonts w:ascii="Consolas" w:hAnsi="Consolas"/>
                <w:color w:val="8B1A1A"/>
                <w:sz w:val="18"/>
              </w:rPr>
              <w:t>backend/bruno</w:t>
            </w:r>
            <w:r>
              <w:rPr>
                <w:sz w:val="18"/>
              </w:rPr>
              <w:t>)</w:t>
            </w:r>
          </w:p>
        </w:tc>
      </w:tr>
    </w:tbl>
    <w:p/>
    <w:p>
      <w:pPr>
        <w:pStyle w:val="Heading1"/>
      </w:pPr>
      <w:r>
        <w:t>6. Workflows</w:t>
      </w:r>
    </w:p>
    <w:p>
      <w:pPr>
        <w:spacing w:after="40"/>
        <w:ind w:left="432" w:hanging="360"/>
      </w:pPr>
      <w:r>
        <w:t xml:space="preserve">1.  </w:t>
      </w:r>
      <w:r>
        <w:rPr>
          <w:b/>
        </w:rPr>
        <w:t>KB generation</w:t>
      </w:r>
      <w:r>
        <w:t xml:space="preserve"> (</w:t>
      </w:r>
      <w:r>
        <w:rPr>
          <w:rFonts w:ascii="Consolas" w:hAnsi="Consolas"/>
          <w:color w:val="8B1A1A"/>
          <w:sz w:val="18"/>
        </w:rPr>
        <w:t>docs/flows/kb-generation.md</w:t>
      </w:r>
      <w:r>
        <w:t>): schemas and vendor docs -&gt; profiler -&gt; join mapper -&gt; capabilities manifest; manuals -&gt; KPI extractor -&gt; KPI catalog and document index.</w:t>
      </w:r>
    </w:p>
    <w:p>
      <w:pPr>
        <w:spacing w:after="40"/>
        <w:ind w:left="432" w:hanging="360"/>
      </w:pPr>
      <w:r>
        <w:t xml:space="preserve">2.  </w:t>
      </w:r>
      <w:r>
        <w:rPr>
          <w:b/>
        </w:rPr>
        <w:t>Monitor authoring</w:t>
      </w:r>
      <w:r>
        <w:t xml:space="preserve"> (</w:t>
      </w:r>
      <w:r>
        <w:rPr>
          <w:rFonts w:ascii="Consolas" w:hAnsi="Consolas"/>
          <w:color w:val="8B1A1A"/>
          <w:sz w:val="18"/>
        </w:rPr>
        <w:t>monitor-authoring.md</w:t>
      </w:r>
      <w:r>
        <w:t>): manager prompt -&gt; Spec Builder -&gt; feasibility check against the KB -&gt; backtest -&gt; revise -&gt; approve and enable.</w:t>
      </w:r>
    </w:p>
    <w:p>
      <w:pPr>
        <w:spacing w:after="40"/>
        <w:ind w:left="432" w:hanging="360"/>
      </w:pPr>
      <w:r>
        <w:t xml:space="preserve">3.  </w:t>
      </w:r>
      <w:r>
        <w:rPr>
          <w:b/>
        </w:rPr>
        <w:t>Runtime execution</w:t>
      </w:r>
      <w:r>
        <w:t xml:space="preserve"> (</w:t>
      </w:r>
      <w:r>
        <w:rPr>
          <w:rFonts w:ascii="Consolas" w:hAnsi="Consolas"/>
          <w:color w:val="8B1A1A"/>
          <w:sz w:val="18"/>
        </w:rPr>
        <w:t>runtime-execution.md</w:t>
      </w:r>
      <w:r>
        <w:t>): cron -&gt; load spec -&gt; preflight freshness -&gt; broad scan -&gt; drilldowns -&gt; critic -&gt; emit alert -&gt; record run history and dedupe.</w:t>
      </w:r>
    </w:p>
    <w:p>
      <w:pPr>
        <w:spacing w:after="40"/>
        <w:ind w:left="432" w:hanging="360"/>
      </w:pPr>
      <w:r>
        <w:t xml:space="preserve">4.  </w:t>
      </w:r>
      <w:r>
        <w:rPr>
          <w:b/>
        </w:rPr>
        <w:t>ETL ingestion</w:t>
      </w:r>
      <w:r>
        <w:t xml:space="preserve"> (</w:t>
      </w:r>
      <w:r>
        <w:rPr>
          <w:rFonts w:ascii="Consolas" w:hAnsi="Consolas"/>
          <w:color w:val="8B1A1A"/>
          <w:sz w:val="18"/>
        </w:rPr>
        <w:t>etl-ingestion.md</w:t>
      </w:r>
      <w:r>
        <w:t>): the five stages above, per tenant, with checkpoints, failed packages and replay.</w:t>
      </w:r>
    </w:p>
    <w:p>
      <w:pPr>
        <w:spacing w:after="40"/>
        <w:ind w:left="432" w:hanging="360"/>
      </w:pPr>
      <w:r>
        <w:t xml:space="preserve">5.  </w:t>
      </w:r>
      <w:r>
        <w:rPr>
          <w:b/>
        </w:rPr>
        <w:t>KDS CDC</w:t>
      </w:r>
      <w:r>
        <w:t xml:space="preserve"> (</w:t>
      </w:r>
      <w:r>
        <w:rPr>
          <w:rFonts w:ascii="Consolas" w:hAnsi="Consolas"/>
          <w:color w:val="8B1A1A"/>
          <w:sz w:val="18"/>
        </w:rPr>
        <w:t>docs/features/ETL/kds-cdc/</w:t>
      </w:r>
      <w:r>
        <w:t>): SQS micro-batches -&gt; raw -&gt; Parquet -&gt; staging -&gt; curated -&gt; export, with quarantine and a replay coordinator.</w:t>
      </w:r>
    </w:p>
    <w:p>
      <w:pPr>
        <w:spacing w:after="40"/>
        <w:ind w:left="432" w:hanging="360"/>
      </w:pPr>
      <w:r>
        <w:t xml:space="preserve">6.  </w:t>
      </w:r>
      <w:r>
        <w:rPr>
          <w:b/>
        </w:rPr>
        <w:t>Fleet pre-ingestion</w:t>
      </w:r>
      <w:r>
        <w:t xml:space="preserve"> (branch): customer uploads one file plus a manifest -&gt; schema version checked against an approved contract registry -&gt; validated -&gt; published to </w:t>
      </w:r>
      <w:r>
        <w:rPr>
          <w:rFonts w:ascii="Consolas" w:hAnsi="Consolas"/>
          <w:color w:val="8B1A1A"/>
          <w:sz w:val="18"/>
        </w:rPr>
        <w:t>raw/source_type=fleet</w:t>
      </w:r>
      <w:r>
        <w:t xml:space="preserve"> -&gt; standard ETL. This is the closest existing design to the "Borg" idea (shape and approve before anything enters the pipeline).</w:t>
      </w:r>
    </w:p>
    <w:p>
      <w:pPr>
        <w:spacing w:after="40"/>
        <w:ind w:left="432" w:hanging="360"/>
      </w:pPr>
      <w:r>
        <w:t xml:space="preserve">7.  </w:t>
      </w:r>
      <w:r>
        <w:rPr>
          <w:b/>
        </w:rPr>
        <w:t>Customer onboarding and provisioning</w:t>
      </w:r>
      <w:r>
        <w:t xml:space="preserve"> (section 4).</w:t>
      </w:r>
    </w:p>
    <w:p>
      <w:pPr>
        <w:spacing w:after="40"/>
        <w:ind w:left="432" w:hanging="360"/>
      </w:pPr>
      <w:r>
        <w:t xml:space="preserve">8.  </w:t>
      </w:r>
      <w:r>
        <w:rPr>
          <w:b/>
        </w:rPr>
        <w:t>CI/CD</w:t>
      </w:r>
      <w:r>
        <w:t xml:space="preserve">: pull request build and test -&gt; merge to </w:t>
      </w:r>
      <w:r>
        <w:rPr>
          <w:rFonts w:ascii="Consolas" w:hAnsi="Consolas"/>
          <w:color w:val="8B1A1A"/>
          <w:sz w:val="18"/>
        </w:rPr>
        <w:t>main</w:t>
      </w:r>
      <w:r>
        <w:t xml:space="preserve"> -&gt; images to ECR -&gt; ECS rollout.</w:t>
      </w:r>
    </w:p>
    <w:p>
      <w:pPr>
        <w:spacing w:after="40"/>
        <w:ind w:left="432" w:hanging="360"/>
      </w:pPr>
      <w:r>
        <w:t xml:space="preserve">9.  </w:t>
      </w:r>
      <w:r>
        <w:rPr>
          <w:b/>
        </w:rPr>
        <w:t>Development method</w:t>
      </w:r>
      <w:r>
        <w:t xml:space="preserve">: work is driven by </w:t>
      </w:r>
      <w:r>
        <w:rPr>
          <w:rFonts w:ascii="Consolas" w:hAnsi="Consolas"/>
          <w:color w:val="8B1A1A"/>
          <w:sz w:val="18"/>
        </w:rPr>
        <w:t>specs/&lt;Feature&gt;/TASK*.md</w:t>
      </w:r>
      <w:r>
        <w:t xml:space="preserve"> files and agent guidance (</w:t>
      </w:r>
      <w:r>
        <w:rPr>
          <w:rFonts w:ascii="Consolas" w:hAnsi="Consolas"/>
          <w:color w:val="8B1A1A"/>
          <w:sz w:val="18"/>
        </w:rPr>
        <w:t>AGENTS.md</w:t>
      </w:r>
      <w:r>
        <w:t xml:space="preserve">, </w:t>
      </w:r>
      <w:r>
        <w:rPr>
          <w:rFonts w:ascii="Consolas" w:hAnsi="Consolas"/>
          <w:color w:val="8B1A1A"/>
          <w:sz w:val="18"/>
        </w:rPr>
        <w:t>.agents/skills/</w:t>
      </w:r>
      <w:r>
        <w:t>). Euvic builds with coding agents and leaves the spec trail in the repo, which makes handover easier.</w:t>
      </w:r>
    </w:p>
    <w:p>
      <w:pPr>
        <w:pStyle w:val="Heading1"/>
      </w:pPr>
      <w:r>
        <w:t>7. Gap analysis: what remains for a fully finished product</w:t>
      </w:r>
    </w:p>
    <w:p>
      <w:r>
        <w:t xml:space="preserve">Severity: </w:t>
      </w:r>
      <w:r>
        <w:rPr>
          <w:b/>
        </w:rPr>
        <w:t>P1</w:t>
      </w:r>
      <w:r>
        <w:t xml:space="preserve"> blocks paying customers, </w:t>
      </w:r>
      <w:r>
        <w:rPr>
          <w:b/>
        </w:rPr>
        <w:t>P2</w:t>
      </w:r>
      <w:r>
        <w:t xml:space="preserve"> needed for scale, </w:t>
      </w:r>
      <w:r>
        <w:rPr>
          <w:b/>
        </w:rPr>
        <w:t>P3</w:t>
      </w:r>
      <w:r>
        <w:t xml:space="preserve"> polish.</w:t>
      </w:r>
    </w:p>
    <w:tbl>
      <w:tblPr>
        <w:tblStyle w:val="TableGrid"/>
        <w:tblW w:type="auto" w:w="0"/>
        <w:tblLook w:firstColumn="1" w:firstRow="1" w:lastColumn="0" w:lastRow="0" w:noHBand="0" w:noVBand="1" w:val="04A0"/>
      </w:tblPr>
      <w:tblGrid>
        <w:gridCol w:w="2484"/>
        <w:gridCol w:w="2484"/>
        <w:gridCol w:w="2484"/>
        <w:gridCol w:w="2484"/>
      </w:tblGrid>
      <w:tr>
        <w:tc>
          <w:tcPr>
            <w:tcW w:type="dxa" w:w="2484"/>
            <w:shd w:val="clear" w:color="auto" w:fill="1F4E79"/>
          </w:tcPr>
          <w:p>
            <w:r>
              <w:rPr>
                <w:b/>
                <w:color w:val="FFFFFF"/>
                <w:sz w:val="18"/>
              </w:rPr>
              <w:t>#</w:t>
            </w:r>
          </w:p>
        </w:tc>
        <w:tc>
          <w:tcPr>
            <w:tcW w:type="dxa" w:w="2484"/>
            <w:shd w:val="clear" w:color="auto" w:fill="1F4E79"/>
          </w:tcPr>
          <w:p>
            <w:r>
              <w:rPr>
                <w:b/>
                <w:color w:val="FFFFFF"/>
                <w:sz w:val="18"/>
              </w:rPr>
              <w:t>Gap</w:t>
            </w:r>
          </w:p>
        </w:tc>
        <w:tc>
          <w:tcPr>
            <w:tcW w:type="dxa" w:w="2484"/>
            <w:shd w:val="clear" w:color="auto" w:fill="1F4E79"/>
          </w:tcPr>
          <w:p>
            <w:r>
              <w:rPr>
                <w:b/>
                <w:color w:val="FFFFFF"/>
                <w:sz w:val="18"/>
              </w:rPr>
              <w:t>Sev</w:t>
            </w:r>
          </w:p>
        </w:tc>
        <w:tc>
          <w:tcPr>
            <w:tcW w:type="dxa" w:w="2484"/>
            <w:shd w:val="clear" w:color="auto" w:fill="1F4E79"/>
          </w:tcPr>
          <w:p>
            <w:r>
              <w:rPr>
                <w:b/>
                <w:color w:val="FFFFFF"/>
                <w:sz w:val="18"/>
              </w:rPr>
              <w:t>Evidence</w:t>
            </w:r>
          </w:p>
        </w:tc>
      </w:tr>
      <w:tr>
        <w:tc>
          <w:tcPr>
            <w:tcW w:type="dxa" w:w="2484"/>
          </w:tcPr>
          <w:p>
            <w:r>
              <w:rPr>
                <w:sz w:val="18"/>
              </w:rPr>
              <w:t>1</w:t>
            </w:r>
          </w:p>
        </w:tc>
        <w:tc>
          <w:tcPr>
            <w:tcW w:type="dxa" w:w="2484"/>
          </w:tcPr>
          <w:p>
            <w:r>
              <w:rPr>
                <w:sz w:val="18"/>
              </w:rPr>
              <w:t>No Brink data running on a schedule in production as Tom sees it; batch is daily (D-1), not near real time</w:t>
            </w:r>
          </w:p>
        </w:tc>
        <w:tc>
          <w:tcPr>
            <w:tcW w:type="dxa" w:w="2484"/>
          </w:tcPr>
          <w:p>
            <w:r>
              <w:rPr>
                <w:sz w:val="18"/>
              </w:rPr>
              <w:t>P1</w:t>
            </w:r>
          </w:p>
        </w:tc>
        <w:tc>
          <w:tcPr>
            <w:tcW w:type="dxa" w:w="2484"/>
          </w:tcPr>
          <w:p>
            <w:r>
              <w:rPr>
                <w:sz w:val="18"/>
              </w:rPr>
              <w:t>Cron exists in code; deployed state unverified; no intraday or polling mode</w:t>
            </w:r>
          </w:p>
        </w:tc>
      </w:tr>
      <w:tr>
        <w:tc>
          <w:tcPr>
            <w:tcW w:type="dxa" w:w="2484"/>
          </w:tcPr>
          <w:p>
            <w:r>
              <w:rPr>
                <w:sz w:val="18"/>
              </w:rPr>
              <w:t>2</w:t>
            </w:r>
          </w:p>
        </w:tc>
        <w:tc>
          <w:tcPr>
            <w:tcW w:type="dxa" w:w="2484"/>
          </w:tcPr>
          <w:p>
            <w:r>
              <w:rPr>
                <w:rFonts w:ascii="Consolas" w:hAnsi="Consolas"/>
                <w:color w:val="8B1A1A"/>
                <w:sz w:val="18"/>
              </w:rPr>
              <w:t>main</w:t>
            </w:r>
            <w:r>
              <w:rPr>
                <w:sz w:val="18"/>
              </w:rPr>
              <w:t xml:space="preserve"> has been static since 2026-06-24 while 5 branches hold large unmerged work (</w:t>
            </w:r>
            <w:r>
              <w:rPr>
                <w:rFonts w:ascii="Consolas" w:hAnsi="Consolas"/>
                <w:color w:val="8B1A1A"/>
                <w:sz w:val="18"/>
              </w:rPr>
              <w:t>life-cycle</w:t>
            </w:r>
            <w:r>
              <w:rPr>
                <w:sz w:val="18"/>
              </w:rPr>
              <w:t xml:space="preserve">, </w:t>
            </w:r>
            <w:r>
              <w:rPr>
                <w:rFonts w:ascii="Consolas" w:hAnsi="Consolas"/>
                <w:color w:val="8B1A1A"/>
                <w:sz w:val="18"/>
              </w:rPr>
              <w:t>extract-raw-xml</w:t>
            </w:r>
            <w:r>
              <w:rPr>
                <w:sz w:val="18"/>
              </w:rPr>
              <w:t xml:space="preserve">, </w:t>
            </w:r>
            <w:r>
              <w:rPr>
                <w:rFonts w:ascii="Consolas" w:hAnsi="Consolas"/>
                <w:color w:val="8B1A1A"/>
                <w:sz w:val="18"/>
              </w:rPr>
              <w:t>kds_cdc_improvments</w:t>
            </w:r>
            <w:r>
              <w:rPr>
                <w:sz w:val="18"/>
              </w:rPr>
              <w:t xml:space="preserve"> marked "TO REVIEW", </w:t>
            </w:r>
            <w:r>
              <w:rPr>
                <w:rFonts w:ascii="Consolas" w:hAnsi="Consolas"/>
                <w:color w:val="8B1A1A"/>
                <w:sz w:val="18"/>
              </w:rPr>
              <w:t>feature/fleet-import</w:t>
            </w:r>
            <w:r>
              <w:rPr>
                <w:sz w:val="18"/>
              </w:rPr>
              <w:t xml:space="preserve">, </w:t>
            </w:r>
            <w:r>
              <w:rPr>
                <w:rFonts w:ascii="Consolas" w:hAnsi="Consolas"/>
                <w:color w:val="8B1A1A"/>
                <w:sz w:val="18"/>
              </w:rPr>
              <w:t>tenat-admin</w:t>
            </w:r>
            <w:r>
              <w:rPr>
                <w:sz w:val="18"/>
              </w:rPr>
              <w:t>)</w:t>
            </w:r>
          </w:p>
        </w:tc>
        <w:tc>
          <w:tcPr>
            <w:tcW w:type="dxa" w:w="2484"/>
          </w:tcPr>
          <w:p>
            <w:r>
              <w:rPr>
                <w:sz w:val="18"/>
              </w:rPr>
              <w:t>P1</w:t>
            </w:r>
          </w:p>
        </w:tc>
        <w:tc>
          <w:tcPr>
            <w:tcW w:type="dxa" w:w="2484"/>
          </w:tcPr>
          <w:p>
            <w:r>
              <w:rPr>
                <w:sz w:val="18"/>
              </w:rPr>
              <w:t>Branch tips; ~330 branch-only doc files</w:t>
            </w:r>
          </w:p>
        </w:tc>
      </w:tr>
      <w:tr>
        <w:tc>
          <w:tcPr>
            <w:tcW w:type="dxa" w:w="2484"/>
          </w:tcPr>
          <w:p>
            <w:r>
              <w:rPr>
                <w:sz w:val="18"/>
              </w:rPr>
              <w:t>3</w:t>
            </w:r>
          </w:p>
        </w:tc>
        <w:tc>
          <w:tcPr>
            <w:tcW w:type="dxa" w:w="2484"/>
          </w:tcPr>
          <w:p>
            <w:r>
              <w:rPr>
                <w:sz w:val="18"/>
              </w:rPr>
              <w:t>Onboarding blocks for ~30 s and has no status or retry UI; async provisioning spec not merged</w:t>
            </w:r>
          </w:p>
        </w:tc>
        <w:tc>
          <w:tcPr>
            <w:tcW w:type="dxa" w:w="2484"/>
          </w:tcPr>
          <w:p>
            <w:r>
              <w:rPr>
                <w:sz w:val="18"/>
              </w:rPr>
              <w:t>P1</w:t>
            </w:r>
          </w:p>
        </w:tc>
        <w:tc>
          <w:tcPr>
            <w:tcW w:type="dxa" w:w="2484"/>
          </w:tcPr>
          <w:p>
            <w:r>
              <w:rPr>
                <w:rFonts w:ascii="Consolas" w:hAnsi="Consolas"/>
                <w:color w:val="8B1A1A"/>
                <w:sz w:val="18"/>
              </w:rPr>
              <w:t>CustomerCredentialTriggeredProvisioning</w:t>
            </w:r>
            <w:r>
              <w:rPr>
                <w:sz w:val="18"/>
              </w:rPr>
              <w:t xml:space="preserve"> spec</w:t>
            </w:r>
          </w:p>
        </w:tc>
      </w:tr>
      <w:tr>
        <w:tc>
          <w:tcPr>
            <w:tcW w:type="dxa" w:w="2484"/>
          </w:tcPr>
          <w:p>
            <w:r>
              <w:rPr>
                <w:sz w:val="18"/>
              </w:rPr>
              <w:t>4</w:t>
            </w:r>
          </w:p>
        </w:tc>
        <w:tc>
          <w:tcPr>
            <w:tcW w:type="dxa" w:w="2484"/>
          </w:tcPr>
          <w:p>
            <w:r>
              <w:rPr>
                <w:sz w:val="18"/>
              </w:rPr>
              <w:t>Curated model incomplete: payment method, store id/name, category names, currency, surrogate keys and SCD2 history are NULL; only 2 of 7 curated tables exported to S3</w:t>
            </w:r>
          </w:p>
        </w:tc>
        <w:tc>
          <w:tcPr>
            <w:tcW w:type="dxa" w:w="2484"/>
          </w:tcPr>
          <w:p>
            <w:r>
              <w:rPr>
                <w:sz w:val="18"/>
              </w:rPr>
              <w:t>P1</w:t>
            </w:r>
          </w:p>
        </w:tc>
        <w:tc>
          <w:tcPr>
            <w:tcW w:type="dxa" w:w="2484"/>
          </w:tcPr>
          <w:p>
            <w:r>
              <w:rPr>
                <w:rFonts w:ascii="Consolas" w:hAnsi="Consolas"/>
                <w:color w:val="8B1A1A"/>
                <w:sz w:val="18"/>
              </w:rPr>
              <w:t>brink-pos-first-integration.md</w:t>
            </w:r>
            <w:r>
              <w:rPr>
                <w:sz w:val="18"/>
              </w:rPr>
              <w:t xml:space="preserve"> limitations</w:t>
            </w:r>
          </w:p>
        </w:tc>
      </w:tr>
      <w:tr>
        <w:tc>
          <w:tcPr>
            <w:tcW w:type="dxa" w:w="2484"/>
          </w:tcPr>
          <w:p>
            <w:r>
              <w:rPr>
                <w:sz w:val="18"/>
              </w:rPr>
              <w:t>5</w:t>
            </w:r>
          </w:p>
        </w:tc>
        <w:tc>
          <w:tcPr>
            <w:tcW w:type="dxa" w:w="2484"/>
          </w:tcPr>
          <w:p>
            <w:r>
              <w:rPr>
                <w:sz w:val="18"/>
              </w:rPr>
              <w:t xml:space="preserve">Only Brink is live as a POS source; Aloha, LabPOS and KDS staging models are documented but not wired end to end; KDS CDC is code-complete on </w:t>
            </w:r>
            <w:r>
              <w:rPr>
                <w:rFonts w:ascii="Consolas" w:hAnsi="Consolas"/>
                <w:color w:val="8B1A1A"/>
                <w:sz w:val="18"/>
              </w:rPr>
              <w:t>main</w:t>
            </w:r>
            <w:r>
              <w:rPr>
                <w:sz w:val="18"/>
              </w:rPr>
              <w:t xml:space="preserve"> but needs a production SQS link</w:t>
            </w:r>
          </w:p>
        </w:tc>
        <w:tc>
          <w:tcPr>
            <w:tcW w:type="dxa" w:w="2484"/>
          </w:tcPr>
          <w:p>
            <w:r>
              <w:rPr>
                <w:sz w:val="18"/>
              </w:rPr>
              <w:t>P2</w:t>
            </w:r>
          </w:p>
        </w:tc>
        <w:tc>
          <w:tcPr>
            <w:tcW w:type="dxa" w:w="2484"/>
          </w:tcPr>
          <w:p>
            <w:r>
              <w:rPr>
                <w:sz w:val="18"/>
              </w:rPr>
              <w:t>warehouse-data docs, kds-cdc docs</w:t>
            </w:r>
          </w:p>
        </w:tc>
      </w:tr>
      <w:tr>
        <w:tc>
          <w:tcPr>
            <w:tcW w:type="dxa" w:w="2484"/>
          </w:tcPr>
          <w:p>
            <w:r>
              <w:rPr>
                <w:sz w:val="18"/>
              </w:rPr>
              <w:t>6</w:t>
            </w:r>
          </w:p>
        </w:tc>
        <w:tc>
          <w:tcPr>
            <w:tcW w:type="dxa" w:w="2484"/>
          </w:tcPr>
          <w:p>
            <w:r>
              <w:rPr>
                <w:sz w:val="18"/>
              </w:rPr>
              <w:t>Cross-tenant layer (Athena, Glue, store groups, multi-store reads) designed only</w:t>
            </w:r>
          </w:p>
        </w:tc>
        <w:tc>
          <w:tcPr>
            <w:tcW w:type="dxa" w:w="2484"/>
          </w:tcPr>
          <w:p>
            <w:r>
              <w:rPr>
                <w:sz w:val="18"/>
              </w:rPr>
              <w:t>P2</w:t>
            </w:r>
          </w:p>
        </w:tc>
        <w:tc>
          <w:tcPr>
            <w:tcW w:type="dxa" w:w="2484"/>
          </w:tcPr>
          <w:p>
            <w:r>
              <w:rPr>
                <w:rFonts w:ascii="Consolas" w:hAnsi="Consolas"/>
                <w:color w:val="8B1A1A"/>
                <w:sz w:val="18"/>
              </w:rPr>
              <w:t>ETL.md</w:t>
            </w:r>
            <w:r>
              <w:rPr>
                <w:sz w:val="18"/>
              </w:rPr>
              <w:t xml:space="preserve"> cross-tenant sections</w:t>
            </w:r>
          </w:p>
        </w:tc>
      </w:tr>
      <w:tr>
        <w:tc>
          <w:tcPr>
            <w:tcW w:type="dxa" w:w="2484"/>
          </w:tcPr>
          <w:p>
            <w:r>
              <w:rPr>
                <w:sz w:val="18"/>
              </w:rPr>
              <w:t>7</w:t>
            </w:r>
          </w:p>
        </w:tc>
        <w:tc>
          <w:tcPr>
            <w:tcW w:type="dxa" w:w="2484"/>
          </w:tcPr>
          <w:p>
            <w:r>
              <w:rPr>
                <w:sz w:val="18"/>
              </w:rPr>
              <w:t>Tenant admin control plane (clients, tenants, systems) designed only</w:t>
            </w:r>
          </w:p>
        </w:tc>
        <w:tc>
          <w:tcPr>
            <w:tcW w:type="dxa" w:w="2484"/>
          </w:tcPr>
          <w:p>
            <w:r>
              <w:rPr>
                <w:sz w:val="18"/>
              </w:rPr>
              <w:t>P2</w:t>
            </w:r>
          </w:p>
        </w:tc>
        <w:tc>
          <w:tcPr>
            <w:tcW w:type="dxa" w:w="2484"/>
          </w:tcPr>
          <w:p>
            <w:r>
              <w:rPr>
                <w:rFonts w:ascii="Consolas" w:hAnsi="Consolas"/>
                <w:color w:val="8B1A1A"/>
                <w:sz w:val="18"/>
              </w:rPr>
              <w:t>tenat-admin</w:t>
            </w:r>
            <w:r>
              <w:rPr>
                <w:sz w:val="18"/>
              </w:rPr>
              <w:t xml:space="preserve"> branch</w:t>
            </w:r>
          </w:p>
        </w:tc>
      </w:tr>
      <w:tr>
        <w:tc>
          <w:tcPr>
            <w:tcW w:type="dxa" w:w="2484"/>
          </w:tcPr>
          <w:p>
            <w:r>
              <w:rPr>
                <w:sz w:val="18"/>
              </w:rPr>
              <w:t>8</w:t>
            </w:r>
          </w:p>
        </w:tc>
        <w:tc>
          <w:tcPr>
            <w:tcW w:type="dxa" w:w="2484"/>
          </w:tcPr>
          <w:p>
            <w:r>
              <w:rPr>
                <w:sz w:val="18"/>
              </w:rPr>
              <w:t>Infrastructure as code is outside this repo and not reviewed; environment reproducibility unknown</w:t>
            </w:r>
          </w:p>
        </w:tc>
        <w:tc>
          <w:tcPr>
            <w:tcW w:type="dxa" w:w="2484"/>
          </w:tcPr>
          <w:p>
            <w:r>
              <w:rPr>
                <w:sz w:val="18"/>
              </w:rPr>
              <w:t>P2</w:t>
            </w:r>
          </w:p>
        </w:tc>
        <w:tc>
          <w:tcPr>
            <w:tcW w:type="dxa" w:w="2484"/>
          </w:tcPr>
          <w:p>
            <w:r>
              <w:rPr>
                <w:sz w:val="18"/>
              </w:rPr>
              <w:t>No Terraform/CDK in KDSAI</w:t>
            </w:r>
          </w:p>
        </w:tc>
      </w:tr>
      <w:tr>
        <w:tc>
          <w:tcPr>
            <w:tcW w:type="dxa" w:w="2484"/>
          </w:tcPr>
          <w:p>
            <w:r>
              <w:rPr>
                <w:sz w:val="18"/>
              </w:rPr>
              <w:t>9</w:t>
            </w:r>
          </w:p>
        </w:tc>
        <w:tc>
          <w:tcPr>
            <w:tcW w:type="dxa" w:w="2484"/>
          </w:tcPr>
          <w:p>
            <w:r>
              <w:rPr>
                <w:sz w:val="18"/>
              </w:rPr>
              <w:t>Front end is a basic Laravel/Blade admin and chat; the Vue dashboard is unfinished; no branding to Tom's design; README is the stock Laravel one</w:t>
            </w:r>
          </w:p>
        </w:tc>
        <w:tc>
          <w:tcPr>
            <w:tcW w:type="dxa" w:w="2484"/>
          </w:tcPr>
          <w:p>
            <w:r>
              <w:rPr>
                <w:sz w:val="18"/>
              </w:rPr>
              <w:t>P2</w:t>
            </w:r>
          </w:p>
        </w:tc>
        <w:tc>
          <w:tcPr>
            <w:tcW w:type="dxa" w:w="2484"/>
          </w:tcPr>
          <w:p>
            <w:r>
              <w:rPr>
                <w:rFonts w:ascii="Consolas" w:hAnsi="Consolas"/>
                <w:color w:val="8B1A1A"/>
                <w:sz w:val="18"/>
              </w:rPr>
              <w:t>Front/</w:t>
            </w:r>
            <w:r>
              <w:rPr>
                <w:sz w:val="18"/>
              </w:rPr>
              <w:t xml:space="preserve">, </w:t>
            </w:r>
            <w:r>
              <w:rPr>
                <w:rFonts w:ascii="Consolas" w:hAnsi="Consolas"/>
                <w:color w:val="8B1A1A"/>
                <w:sz w:val="18"/>
              </w:rPr>
              <w:t>kd/*</w:t>
            </w:r>
            <w:r>
              <w:rPr>
                <w:sz w:val="18"/>
              </w:rPr>
              <w:t xml:space="preserve"> branches</w:t>
            </w:r>
          </w:p>
        </w:tc>
      </w:tr>
      <w:tr>
        <w:tc>
          <w:tcPr>
            <w:tcW w:type="dxa" w:w="2484"/>
          </w:tcPr>
          <w:p>
            <w:r>
              <w:rPr>
                <w:sz w:val="18"/>
              </w:rPr>
              <w:t>10</w:t>
            </w:r>
          </w:p>
        </w:tc>
        <w:tc>
          <w:tcPr>
            <w:tcW w:type="dxa" w:w="2484"/>
          </w:tcPr>
          <w:p>
            <w:r>
              <w:rPr>
                <w:sz w:val="18"/>
              </w:rPr>
              <w:t>Operational hardening: alarms, DLQ handling, freshness SLAs, cost guards on Redshift and Bedrock, runbooks, on-call</w:t>
            </w:r>
          </w:p>
        </w:tc>
        <w:tc>
          <w:tcPr>
            <w:tcW w:type="dxa" w:w="2484"/>
          </w:tcPr>
          <w:p>
            <w:r>
              <w:rPr>
                <w:sz w:val="18"/>
              </w:rPr>
              <w:t>P2</w:t>
            </w:r>
          </w:p>
        </w:tc>
        <w:tc>
          <w:tcPr>
            <w:tcW w:type="dxa" w:w="2484"/>
          </w:tcPr>
          <w:p>
            <w:r>
              <w:rPr>
                <w:rFonts w:ascii="Consolas" w:hAnsi="Consolas"/>
                <w:color w:val="8B1A1A"/>
                <w:sz w:val="18"/>
              </w:rPr>
              <w:t>ETL.md</w:t>
            </w:r>
            <w:r>
              <w:rPr>
                <w:sz w:val="18"/>
              </w:rPr>
              <w:t xml:space="preserve"> operational requirements vs code</w:t>
            </w:r>
          </w:p>
        </w:tc>
      </w:tr>
      <w:tr>
        <w:tc>
          <w:tcPr>
            <w:tcW w:type="dxa" w:w="2484"/>
          </w:tcPr>
          <w:p>
            <w:r>
              <w:rPr>
                <w:sz w:val="18"/>
              </w:rPr>
              <w:t>11</w:t>
            </w:r>
          </w:p>
        </w:tc>
        <w:tc>
          <w:tcPr>
            <w:tcW w:type="dxa" w:w="2484"/>
          </w:tcPr>
          <w:p>
            <w:r>
              <w:rPr>
                <w:sz w:val="18"/>
              </w:rPr>
              <w:t>Security: secrets management in deployed env, credential rotation, audit of read-only enforcement in the Data Access tools, tenant isolation tests</w:t>
            </w:r>
          </w:p>
        </w:tc>
        <w:tc>
          <w:tcPr>
            <w:tcW w:type="dxa" w:w="2484"/>
          </w:tcPr>
          <w:p>
            <w:r>
              <w:rPr>
                <w:sz w:val="18"/>
              </w:rPr>
              <w:t>P2</w:t>
            </w:r>
          </w:p>
        </w:tc>
        <w:tc>
          <w:tcPr>
            <w:tcW w:type="dxa" w:w="2484"/>
          </w:tcPr>
          <w:p>
            <w:r>
              <w:rPr>
                <w:sz w:val="18"/>
              </w:rPr>
              <w:t>auth docs</w:t>
            </w:r>
          </w:p>
        </w:tc>
      </w:tr>
      <w:tr>
        <w:tc>
          <w:tcPr>
            <w:tcW w:type="dxa" w:w="2484"/>
          </w:tcPr>
          <w:p>
            <w:r>
              <w:rPr>
                <w:sz w:val="18"/>
              </w:rPr>
              <w:t>12</w:t>
            </w:r>
          </w:p>
        </w:tc>
        <w:tc>
          <w:tcPr>
            <w:tcW w:type="dxa" w:w="2484"/>
          </w:tcPr>
          <w:p>
            <w:r>
              <w:rPr>
                <w:sz w:val="18"/>
              </w:rPr>
              <w:t xml:space="preserve">Upstream bugs found in sandbox testing (Redshift </w:t>
            </w:r>
            <w:r>
              <w:rPr>
                <w:rFonts w:ascii="Consolas" w:hAnsi="Consolas"/>
                <w:color w:val="8B1A1A"/>
                <w:sz w:val="18"/>
              </w:rPr>
              <w:t>dev</w:t>
            </w:r>
            <w:r>
              <w:rPr>
                <w:sz w:val="18"/>
              </w:rPr>
              <w:t xml:space="preserve"> database default, </w:t>
            </w:r>
            <w:r>
              <w:rPr>
                <w:rFonts w:ascii="Consolas" w:hAnsi="Consolas"/>
                <w:color w:val="8B1A1A"/>
                <w:sz w:val="18"/>
              </w:rPr>
              <w:t>SUPER</w:t>
            </w:r>
            <w:r>
              <w:rPr>
                <w:sz w:val="18"/>
              </w:rPr>
              <w:t xml:space="preserve"> type in local migrations) not yet reported or fixed</w:t>
            </w:r>
          </w:p>
        </w:tc>
        <w:tc>
          <w:tcPr>
            <w:tcW w:type="dxa" w:w="2484"/>
          </w:tcPr>
          <w:p>
            <w:r>
              <w:rPr>
                <w:sz w:val="18"/>
              </w:rPr>
              <w:t>P3</w:t>
            </w:r>
          </w:p>
        </w:tc>
        <w:tc>
          <w:tcPr>
            <w:tcW w:type="dxa" w:w="2484"/>
          </w:tcPr>
          <w:p>
            <w:r>
              <w:rPr>
                <w:rFonts w:ascii="Consolas" w:hAnsi="Consolas"/>
                <w:color w:val="8B1A1A"/>
                <w:sz w:val="18"/>
              </w:rPr>
              <w:t>SESSION_LOG.md</w:t>
            </w:r>
            <w:r>
              <w:rPr>
                <w:sz w:val="18"/>
              </w:rPr>
              <w:t xml:space="preserve"> in Tom's Spensara folder</w:t>
            </w:r>
          </w:p>
        </w:tc>
      </w:tr>
      <w:tr>
        <w:tc>
          <w:tcPr>
            <w:tcW w:type="dxa" w:w="2484"/>
          </w:tcPr>
          <w:p>
            <w:r>
              <w:rPr>
                <w:sz w:val="18"/>
              </w:rPr>
              <w:t>13</w:t>
            </w:r>
          </w:p>
        </w:tc>
        <w:tc>
          <w:tcPr>
            <w:tcW w:type="dxa" w:w="2484"/>
          </w:tcPr>
          <w:p>
            <w:r>
              <w:rPr>
                <w:sz w:val="18"/>
              </w:rPr>
              <w:t xml:space="preserve">Root </w:t>
            </w:r>
            <w:r>
              <w:rPr>
                <w:rFonts w:ascii="Consolas" w:hAnsi="Consolas"/>
                <w:color w:val="8B1A1A"/>
                <w:sz w:val="18"/>
              </w:rPr>
              <w:t>README.md</w:t>
            </w:r>
            <w:r>
              <w:rPr>
                <w:sz w:val="18"/>
              </w:rPr>
              <w:t xml:space="preserve"> is empty; no customer onboarding runbook, no offboarding or data deletion procedure</w:t>
            </w:r>
          </w:p>
        </w:tc>
        <w:tc>
          <w:tcPr>
            <w:tcW w:type="dxa" w:w="2484"/>
          </w:tcPr>
          <w:p>
            <w:r>
              <w:rPr>
                <w:sz w:val="18"/>
              </w:rPr>
              <w:t>P3</w:t>
            </w:r>
          </w:p>
        </w:tc>
        <w:tc>
          <w:tcPr>
            <w:tcW w:type="dxa" w:w="2484"/>
          </w:tcPr>
          <w:p>
            <w:r>
              <w:rPr>
                <w:sz w:val="18"/>
              </w:rPr>
              <w:t>repo root</w:t>
            </w:r>
          </w:p>
        </w:tc>
      </w:tr>
      <w:tr>
        <w:tc>
          <w:tcPr>
            <w:tcW w:type="dxa" w:w="2484"/>
          </w:tcPr>
          <w:p>
            <w:r>
              <w:rPr>
                <w:sz w:val="18"/>
              </w:rPr>
              <w:t>14</w:t>
            </w:r>
          </w:p>
        </w:tc>
        <w:tc>
          <w:tcPr>
            <w:tcW w:type="dxa" w:w="2484"/>
          </w:tcPr>
          <w:p>
            <w:r>
              <w:rPr>
                <w:sz w:val="18"/>
              </w:rPr>
              <w:t>Edge appliance (Debian, Apache 2.4 + PHP 8.4 FPM, MariaDB, Cockpit on the Intel 9550) has no counterpart in this codebase; the store-side collector and its sync to the cloud ingestion API are undefined</w:t>
            </w:r>
          </w:p>
        </w:tc>
        <w:tc>
          <w:tcPr>
            <w:tcW w:type="dxa" w:w="2484"/>
          </w:tcPr>
          <w:p>
            <w:r>
              <w:rPr>
                <w:sz w:val="18"/>
              </w:rPr>
              <w:t>P2</w:t>
            </w:r>
          </w:p>
        </w:tc>
        <w:tc>
          <w:tcPr>
            <w:tcW w:type="dxa" w:w="2484"/>
          </w:tcPr>
          <w:p>
            <w:r>
              <w:rPr>
                <w:sz w:val="18"/>
              </w:rPr>
              <w:t>not present in KDSAI</w:t>
            </w:r>
          </w:p>
        </w:tc>
      </w:tr>
    </w:tbl>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