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"The Borg": Spensara's unified ingestion tool. Architecture options and recommendation</w:t>
      </w:r>
    </w:p>
    <w:p>
      <w:r>
        <w:t>2026-10-23 (ET). This builds on analysis.md, the Brink findings. The code facts there are based on file names and logs; see its §0.</w:t>
      </w:r>
    </w:p>
    <w:p>
      <w:pPr>
        <w:pStyle w:val="Heading1"/>
      </w:pPr>
      <w:r>
        <w:t>1. Tom's leaning, as stated</w:t>
      </w:r>
    </w:p>
    <w:p>
      <w:r>
        <w:t xml:space="preserve">The Borg gathers data from every source, then assimilates, understands, maps and plans. It normalizes everything into the curated format, and </w:t>
      </w:r>
      <w:r>
        <w:rPr>
          <w:b/>
        </w:rPr>
        <w:t>only then</w:t>
      </w:r>
      <w:r>
        <w:t xml:space="preserve"> streams it securely into the customer's own siloed S3 bucket. Nothing uncurated reaches S3, and any source the Borg can't shape is blocked at the door. A generic, low-logic AWS process (timers plus ingestion, no transformation) then loads S3 into the curated Redshift tables on a schedule.</w:t>
      </w:r>
    </w:p>
    <w:p>
      <w:pPr>
        <w:pStyle w:val="Heading1"/>
      </w:pPr>
      <w:r>
        <w:t>2. Options</w:t>
      </w:r>
    </w:p>
    <w:p>
      <w:pPr>
        <w:pStyle w:val="ListBullet"/>
      </w:pPr>
      <w:r>
        <w:rPr>
          <w:b/>
        </w:rPr>
        <w:t>A. Edge-normalize (Tom's leaning).</w:t>
      </w:r>
      <w:r>
        <w:t xml:space="preserve"> Curated-only in S3, and a "dumb" loader.</w:t>
      </w:r>
    </w:p>
    <w:p>
      <w:pPr>
        <w:pStyle w:val="ListBullet"/>
      </w:pPr>
      <w:r>
        <w:rPr>
          <w:b/>
        </w:rPr>
        <w:t>B. Land raw, normalize later.</w:t>
      </w:r>
      <w:r>
        <w:t xml:space="preserve"> This is roughly today's KDSAI design: raw goes to S3 and staging (SUPER), then normalize → curated, all in AWS.</w:t>
      </w:r>
    </w:p>
    <w:p>
      <w:pPr>
        <w:pStyle w:val="ListBullet"/>
      </w:pPr>
      <w:r>
        <w:rPr>
          <w:b/>
        </w:rPr>
        <w:t>C. Hybrid (recommended).</w:t>
      </w:r>
      <w:r>
        <w:t xml:space="preserve"> The Borg normalizes before the customer's bucket, </w:t>
      </w:r>
      <w:r>
        <w:rPr>
          <w:i/>
        </w:rPr>
        <w:t>and</w:t>
      </w:r>
      <w:r>
        <w:t xml:space="preserve"> keeps a sealed, quarantined raw zone. The raw zone is write-once and time-limited, the loader never reads it, and it's used only for replay and audit.</w:t>
      </w:r>
    </w:p>
    <w:p>
      <w:pPr>
        <w:pStyle w:val="Heading1"/>
      </w:pPr>
      <w:r>
        <w:t>3. Tradeoffs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Concern</w:t>
            </w:r>
          </w:p>
        </w:tc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A Edge-normalize</w:t>
            </w:r>
          </w:p>
        </w:tc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B Raw-then-normalize</w:t>
            </w:r>
          </w:p>
        </w:tc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C Hybrid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Replay / reprocessing (a mapping bug, a new curated column)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Weak.</w:t>
            </w:r>
            <w:r>
              <w:rPr>
                <w:sz w:val="18"/>
              </w:rPr>
              <w:t xml:space="preserve"> The raw data is gone, so you must re-pull from the source. Brink can be re-pulled by business date, but only within its retention window. A customer's S3 data may have been overwritten.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Strong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Strong: replay from sealed raw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Audit / lineage ("where did this number come from?")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Only curated rows plus Borg logs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Full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 xml:space="preserve">Full: each curated file carries </w:t>
            </w:r>
            <w:r>
              <w:rPr>
                <w:rFonts w:ascii="Consolas" w:hAnsi="Consolas"/>
                <w:color w:val="8B1A1A"/>
                <w:sz w:val="18"/>
              </w:rPr>
              <w:t>raw_object_key</w:t>
            </w:r>
            <w:r>
              <w:rPr>
                <w:sz w:val="18"/>
              </w:rPr>
              <w:t xml:space="preserve">, </w:t>
            </w:r>
            <w:r>
              <w:rPr>
                <w:rFonts w:ascii="Consolas" w:hAnsi="Consolas"/>
                <w:color w:val="8B1A1A"/>
                <w:sz w:val="18"/>
              </w:rPr>
              <w:t>contract_version</w:t>
            </w:r>
            <w:r>
              <w:rPr>
                <w:sz w:val="18"/>
              </w:rPr>
              <w:t xml:space="preserve">, </w:t>
            </w:r>
            <w:r>
              <w:rPr>
                <w:rFonts w:ascii="Consolas" w:hAnsi="Consolas"/>
                <w:color w:val="8B1A1A"/>
                <w:sz w:val="18"/>
              </w:rPr>
              <w:t>borg_version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Schema evolution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Clean: the contract is enforced in one place. A new field is dropped until mapped, which is safe but loses data.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Flexible but messy (drift seeps into staging)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Enforced contract, and unmapped fields are kept in raw for later backfill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Failure blast radius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A Borg bug corrupts curated directly, with nothing to fall back to. The loader is trivial, so its failures are small.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Bad SQL in the warehouse affects every tenant at once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 xml:space="preserve">A Borg bug → re-run from raw. Bad input is stopped at the gate for </w:t>
            </w:r>
            <w:r>
              <w:rPr>
                <w:b/>
                <w:sz w:val="18"/>
              </w:rPr>
              <w:t>that source only</w:t>
            </w:r>
            <w:r>
              <w:rPr>
                <w:sz w:val="18"/>
              </w:rPr>
              <w:t>.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Customer isolation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Strong:</w:t>
            </w:r>
            <w:r>
              <w:rPr>
                <w:sz w:val="18"/>
              </w:rPr>
              <w:t xml:space="preserve"> one bucket/KMS key per customer holds only curated data. That's a good story for franchise and data-ownership covenants (see the Franchise tab: brands own the data, and less raw PII leaves the store).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Weaker unless raw is also siloed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Strong if raw is also per-customer, KMS-encrypted, with a short TTL (e.g. 30–90 d), or stays on the Edge device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Cost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Lowest storage and the cheapest Redshift (COPY only)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More storage and more Redshift compute (transform in-warehouse)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Little extra cost: S3 IA/Glacier for raw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Latency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Good: one hop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Extra hop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Same as A, since raw is written in parallel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Ops simplicity of the AWS side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Best:</w:t>
            </w:r>
            <w:r>
              <w:rPr>
                <w:sz w:val="18"/>
              </w:rPr>
              <w:t xml:space="preserve"> Scheduler → COPY/MERGE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Complex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Same as A</w:t>
            </w:r>
          </w:p>
        </w:tc>
      </w:tr>
    </w:tbl>
    <w:p/>
    <w:p>
      <w:r>
        <w:rPr>
          <w:b/>
        </w:rPr>
        <w:t>Verdict:</w:t>
      </w:r>
      <w:r>
        <w:t xml:space="preserve"> the core of Tom's idea is right: curate at the Borg, keep AWS dumb, siloed buckets, and block what can't be shaped. Doing it </w:t>
      </w:r>
      <w:r>
        <w:rPr>
          <w:i/>
        </w:rPr>
        <w:t>without</w:t>
      </w:r>
      <w:r>
        <w:t xml:space="preserve"> a raw copy gives up replay and lineage, and turns every Borg bug into permanent data loss. </w:t>
      </w:r>
      <w:r>
        <w:rPr>
          <w:b/>
        </w:rPr>
        <w:t>Recommendation: Option C.</w:t>
      </w:r>
    </w:p>
    <w:p>
      <w:r>
        <w:t xml:space="preserve">One correction to "no data manipulation" in the AWS loader: it still has to do a key-based </w:t>
      </w:r>
      <w:r>
        <w:rPr>
          <w:b/>
        </w:rPr>
        <w:t>MERGE</w:t>
      </w:r>
      <w:r>
        <w:t>, i.e. dedupe or upsert on a natural key. Re-pulled Brink days and late voids otherwise double-count. That counts as load semantics, not transformation, and it's generic: one stored procedure parameterized by table and key.</w:t>
      </w:r>
    </w:p>
    <w:p>
      <w:pPr>
        <w:pStyle w:val="Heading1"/>
      </w:pPr>
      <w:r>
        <w:t>4. Architecture (Option C)</w:t>
      </w:r>
    </w:p>
    <w:p>
      <w:r>
        <w:t xml:space="preserve">The </w:t>
      </w:r>
      <w:r>
        <w:rPr>
          <w:b/>
        </w:rPr>
        <w:t>control plane</w:t>
      </w:r>
      <w:r>
        <w:t xml:space="preserve"> is a small registry: Sources, Contracts (versioned), Fingerprints, Approvals, Watermarks and the batch ledger. It can reuse KDSAI's </w:t>
      </w:r>
      <w:r>
        <w:rPr>
          <w:rFonts w:ascii="Consolas" w:hAnsi="Consolas"/>
          <w:color w:val="8B1A1A"/>
          <w:sz w:val="18"/>
        </w:rPr>
        <w:t>IngestionBatch</w:t>
      </w:r>
      <w:r>
        <w:t xml:space="preserve">, </w:t>
      </w:r>
      <w:r>
        <w:rPr>
          <w:rFonts w:ascii="Consolas" w:hAnsi="Consolas"/>
          <w:color w:val="8B1A1A"/>
          <w:sz w:val="18"/>
        </w:rPr>
        <w:t>IngestionCheckpoint</w:t>
      </w:r>
      <w:r>
        <w:t xml:space="preserve"> and </w:t>
      </w:r>
      <w:r>
        <w:rPr>
          <w:rFonts w:ascii="Consolas" w:hAnsi="Consolas"/>
          <w:color w:val="8B1A1A"/>
          <w:sz w:val="18"/>
        </w:rPr>
        <w:t>KdsCdcQuarantineRecord</w:t>
      </w:r>
      <w:r>
        <w:t xml:space="preserve"> patterns.</w:t>
      </w:r>
    </w:p>
    <w:p>
      <w:pPr>
        <w:pStyle w:val="Heading1"/>
      </w:pPr>
      <w:r>
        <w:t>5. What the Borg does per source type</w:t>
      </w:r>
    </w:p>
    <w:p>
      <w:pPr>
        <w:pStyle w:val="Heading2"/>
      </w:pPr>
      <w:r>
        <w:t>(a) Brink API (pull, business-date model)</w:t>
      </w:r>
    </w:p>
    <w:p>
      <w:pPr>
        <w:pStyle w:val="ListBullet"/>
      </w:pPr>
      <w:r>
        <w:rPr>
          <w:b/>
        </w:rPr>
        <w:t>Connect:</w:t>
      </w:r>
      <w:r>
        <w:t xml:space="preserve"> per-location Brink token + service URL (Secrets Manager); reuse </w:t>
      </w:r>
      <w:r>
        <w:rPr>
          <w:rFonts w:ascii="Consolas" w:hAnsi="Consolas"/>
          <w:color w:val="8B1A1A"/>
          <w:sz w:val="18"/>
        </w:rPr>
        <w:t>BrinkPosEndpointCatalog</w:t>
      </w:r>
      <w:r>
        <w:t xml:space="preserve"> / </w:t>
      </w:r>
      <w:r>
        <w:rPr>
          <w:rFonts w:ascii="Consolas" w:hAnsi="Consolas"/>
          <w:color w:val="8B1A1A"/>
          <w:sz w:val="18"/>
        </w:rPr>
        <w:t>BrinkPosEndpointExecutor</w:t>
      </w:r>
      <w:r>
        <w:t>.</w:t>
      </w:r>
    </w:p>
    <w:p>
      <w:pPr>
        <w:pStyle w:val="ListBullet"/>
      </w:pPr>
      <w:r>
        <w:rPr>
          <w:b/>
        </w:rPr>
        <w:t>Plan:</w:t>
      </w:r>
      <w:r>
        <w:t xml:space="preserve"> every 5–15 min, re-pull the current business date for each location (</w:t>
      </w:r>
      <w:r>
        <w:rPr>
          <w:rFonts w:ascii="Consolas" w:hAnsi="Consolas"/>
          <w:color w:val="8B1A1A"/>
          <w:sz w:val="18"/>
        </w:rPr>
        <w:t>BrinkPosBusinessDateResolver</w:t>
      </w:r>
      <w:r>
        <w:t xml:space="preserve"> / </w:t>
      </w:r>
      <w:r>
        <w:rPr>
          <w:rFonts w:ascii="Consolas" w:hAnsi="Consolas"/>
          <w:color w:val="8B1A1A"/>
          <w:sz w:val="18"/>
        </w:rPr>
        <w:t>ScheduleTimeZoneResolver</w:t>
      </w:r>
      <w:r>
        <w:t>). Nightly, re-pull D-1/D-2. Respect rate limits, with backoff and jitter.</w:t>
      </w:r>
    </w:p>
    <w:p>
      <w:pPr>
        <w:pStyle w:val="ListBullet"/>
      </w:pPr>
      <w:r>
        <w:rPr>
          <w:b/>
        </w:rPr>
        <w:t>Map:</w:t>
      </w:r>
      <w:r>
        <w:t xml:space="preserve"> the contracts already exist in code: </w:t>
      </w:r>
      <w:r>
        <w:rPr>
          <w:rFonts w:ascii="Consolas" w:hAnsi="Consolas"/>
          <w:color w:val="8B1A1A"/>
          <w:sz w:val="18"/>
        </w:rPr>
        <w:t>BrinkPosNormalizationCatalog</w:t>
      </w:r>
      <w:r>
        <w:t xml:space="preserve"> + </w:t>
      </w:r>
      <w:r>
        <w:rPr>
          <w:rFonts w:ascii="Consolas" w:hAnsi="Consolas"/>
          <w:color w:val="8B1A1A"/>
          <w:sz w:val="18"/>
        </w:rPr>
        <w:t>BrinkPosCuratedTargetCatalog</w:t>
      </w:r>
      <w:r>
        <w:t xml:space="preserve"> → curated orders, items, modifiers, payments, discounts, voids, labor and settings. </w:t>
      </w:r>
      <w:r>
        <w:rPr>
          <w:b/>
        </w:rPr>
        <w:t>The Borg is largely a re-home of the existing BrinkPos stages</w:t>
      </w:r>
      <w:r>
        <w:t>, moving Normalize and StagingToCurated ahead of S3 instead of inside Redshift.</w:t>
      </w:r>
    </w:p>
    <w:p>
      <w:pPr>
        <w:pStyle w:val="ListBullet"/>
      </w:pPr>
      <w:r>
        <w:rPr>
          <w:b/>
        </w:rPr>
        <w:t>Keys / dedupe:</w:t>
      </w:r>
      <w:r>
        <w:t xml:space="preserve"> (location_id, business_date, order_id[, line_no]). Voids and refunds update the same key, and MERGE handles them.</w:t>
      </w:r>
    </w:p>
    <w:p>
      <w:pPr>
        <w:pStyle w:val="ListBullet"/>
      </w:pPr>
      <w:r>
        <w:rPr>
          <w:b/>
        </w:rPr>
        <w:t>Drift:</w:t>
      </w:r>
      <w:r>
        <w:t xml:space="preserve"> new or unknown Brink fields stay in the sealed raw zone, trigger an alert, and go to a contract bump plus backfill from raw. A type change on a mapped field quarantines that endpoint.</w:t>
      </w:r>
    </w:p>
    <w:p>
      <w:pPr>
        <w:pStyle w:val="ListBullet"/>
      </w:pPr>
      <w:r>
        <w:rPr>
          <w:b/>
        </w:rPr>
        <w:t>Block at the door:</w:t>
      </w:r>
      <w:r>
        <w:t xml:space="preserve"> an unknown endpoint or response shape gets no contract, so nothing publishes.</w:t>
      </w:r>
    </w:p>
    <w:p>
      <w:pPr>
        <w:pStyle w:val="Heading2"/>
      </w:pPr>
      <w:r>
        <w:t>(b) Arbitrary customer S3 sources (push or drop; unknown shape)</w:t>
      </w:r>
    </w:p>
    <w:p>
      <w:pPr>
        <w:pStyle w:val="ListBullet"/>
      </w:pPr>
      <w:r>
        <w:rPr>
          <w:b/>
        </w:rPr>
        <w:t>Connect:</w:t>
      </w:r>
      <w:r>
        <w:t xml:space="preserve"> cross-account IAM role in the customer's account (ExternalId), read-only on the named prefix, with S3 event notification → Borg queue (or a poll on a schedule).</w:t>
      </w:r>
    </w:p>
    <w:p>
      <w:pPr>
        <w:pStyle w:val="ListBullet"/>
      </w:pPr>
      <w:r>
        <w:rPr>
          <w:b/>
        </w:rPr>
        <w:t>Discover:</w:t>
      </w:r>
      <w:r>
        <w:t xml:space="preserve"> detect the format (CSV/JSON/Parquet/XLSX), infer the schema, profile columns, and compute a fingerprint (column set + types).</w:t>
      </w:r>
    </w:p>
    <w:p>
      <w:pPr>
        <w:pStyle w:val="ListBullet"/>
      </w:pPr>
      <w:r>
        <w:rPr>
          <w:b/>
        </w:rPr>
        <w:t>Map:</w:t>
      </w:r>
      <w:r>
        <w:t xml:space="preserve"> an assisted mapping proposal (column → curated field, with confidence) that </w:t>
      </w:r>
      <w:r>
        <w:rPr>
          <w:b/>
        </w:rPr>
        <w:t>requires a person's approval</w:t>
      </w:r>
      <w:r>
        <w:t xml:space="preserve"> to become Contract v1. Until then the source is </w:t>
      </w:r>
      <w:r>
        <w:rPr>
          <w:i/>
        </w:rPr>
        <w:t>blocked</w:t>
      </w:r>
      <w:r>
        <w:t>: raw is sealed, and nothing is published.</w:t>
      </w:r>
    </w:p>
    <w:p>
      <w:pPr>
        <w:pStyle w:val="ListBullet"/>
      </w:pPr>
      <w:r>
        <w:rPr>
          <w:b/>
        </w:rPr>
        <w:t>Normalize:</w:t>
      </w:r>
      <w:r>
        <w:t xml:space="preserve"> units, time zones, store/location ID crosswalk (customer store # → Spensara location), product and menu crosswalk.</w:t>
      </w:r>
    </w:p>
    <w:p>
      <w:pPr>
        <w:pStyle w:val="ListBullet"/>
      </w:pPr>
      <w:r>
        <w:rPr>
          <w:b/>
        </w:rPr>
        <w:t>Incremental:</w:t>
      </w:r>
      <w:r>
        <w:t xml:space="preserve"> object key + ETag ledger (exactly-once per object). For full-snapshot drops, diff against the previous snapshot by key.</w:t>
      </w:r>
    </w:p>
    <w:p>
      <w:pPr>
        <w:pStyle w:val="ListBullet"/>
      </w:pPr>
      <w:r>
        <w:rPr>
          <w:b/>
        </w:rPr>
        <w:t>Drift:</w:t>
      </w:r>
      <w:r>
        <w:t xml:space="preserve"> a fingerprint change stops that source only, alerts, and asks for a new contract version.</w:t>
      </w:r>
    </w:p>
    <w:p>
      <w:pPr>
        <w:pStyle w:val="ListBullet"/>
      </w:pPr>
      <w:r>
        <w:rPr>
          <w:b/>
        </w:rPr>
        <w:t>Isolation:</w:t>
      </w:r>
      <w:r>
        <w:t xml:space="preserve"> never co-mingle. One tenant's role can't read another tenant's prefixes, with per-tenant KMS keys.</w:t>
      </w:r>
    </w:p>
    <w:p>
      <w:pPr>
        <w:pStyle w:val="Heading1"/>
      </w:pPr>
      <w:r>
        <w:t>6. Build sequence (tied to the Brink findings)</w:t>
      </w:r>
    </w:p>
    <w:p>
      <w:pPr>
        <w:spacing w:after="40"/>
        <w:ind w:left="432" w:hanging="360"/>
      </w:pPr>
      <w:r>
        <w:t xml:space="preserve">1.  </w:t>
      </w:r>
      <w:r>
        <w:rPr>
          <w:b/>
        </w:rPr>
        <w:t>Decide the warehouse target and the bucket layout.</w:t>
      </w:r>
      <w:r>
        <w:t xml:space="preserve"> Redshift Serverless per-tenant DB plus </w:t>
      </w:r>
      <w:r>
        <w:rPr>
          <w:rFonts w:ascii="Consolas" w:hAnsi="Consolas"/>
          <w:color w:val="8B1A1A"/>
          <w:sz w:val="18"/>
        </w:rPr>
        <w:t>spensara-raw-{tenant}</w:t>
      </w:r>
      <w:r>
        <w:t xml:space="preserve"> and </w:t>
      </w:r>
      <w:r>
        <w:rPr>
          <w:rFonts w:ascii="Consolas" w:hAnsi="Consolas"/>
          <w:color w:val="8B1A1A"/>
          <w:sz w:val="18"/>
        </w:rPr>
        <w:t>spensara-cur-{tenant}</w:t>
      </w:r>
      <w:r>
        <w:t xml:space="preserve"> buckets with KMS. Reconcile with Maciej's Redshift→S3/Athena PR. (1 wk, includes the review)</w:t>
      </w:r>
    </w:p>
    <w:p>
      <w:pPr>
        <w:spacing w:after="40"/>
        <w:ind w:left="432" w:hanging="360"/>
      </w:pPr>
      <w:r>
        <w:t xml:space="preserve">2.  </w:t>
      </w:r>
      <w:r>
        <w:rPr>
          <w:b/>
        </w:rPr>
        <w:t>Generic loader first</w:t>
      </w:r>
      <w:r>
        <w:t xml:space="preserve"> (from analysis.md B2/B5/B8: Step Functions + COPY→MERGE + manifest ledger + alarms). It works for any source once a curated Parquet file and manifest exist. (1.5 wk)</w:t>
      </w:r>
    </w:p>
    <w:p>
      <w:pPr>
        <w:spacing w:after="40"/>
        <w:ind w:left="432" w:hanging="360"/>
      </w:pPr>
      <w:r>
        <w:t xml:space="preserve">3.  </w:t>
      </w:r>
      <w:r>
        <w:rPr>
          <w:b/>
        </w:rPr>
        <w:t>Borg v0 = Brink.</w:t>
      </w:r>
      <w:r>
        <w:t xml:space="preserve"> Extract the BrinkPos Extract/Normalize/Curated stages into a Borg worker container that writes sealed raw plus curated Parquet and a manifest. The 5-min intraday and nightly re-pull schedules run from EventBridge Scheduler. This delivers Tom's original ask: real-time Brink into curated. (2–2.5 wk)</w:t>
      </w:r>
    </w:p>
    <w:p>
      <w:pPr>
        <w:spacing w:after="40"/>
        <w:ind w:left="432" w:hanging="360"/>
      </w:pPr>
      <w:r>
        <w:t xml:space="preserve">4.  </w:t>
      </w:r>
      <w:r>
        <w:rPr>
          <w:b/>
        </w:rPr>
        <w:t>Control plane:</w:t>
      </w:r>
      <w:r>
        <w:t xml:space="preserve"> contracts, fingerprints, approvals, quarantine and the watermark registry, plus a Bridge Admin page. (1.5 wk)</w:t>
      </w:r>
    </w:p>
    <w:p>
      <w:pPr>
        <w:spacing w:after="40"/>
        <w:ind w:left="432" w:hanging="360"/>
      </w:pPr>
      <w:r>
        <w:t xml:space="preserve">5.  </w:t>
      </w:r>
      <w:r>
        <w:rPr>
          <w:b/>
        </w:rPr>
        <w:t>Borg v1 = customer S3 connector,</w:t>
      </w:r>
      <w:r>
        <w:t xml:space="preserve"> with discovery, assisted mapping and approval gating. (2–3 wk)</w:t>
      </w:r>
    </w:p>
    <w:p>
      <w:pPr>
        <w:spacing w:after="40"/>
        <w:ind w:left="432" w:hanging="360"/>
      </w:pPr>
      <w:r>
        <w:t xml:space="preserve">6.  </w:t>
      </w:r>
      <w:r>
        <w:rPr>
          <w:b/>
        </w:rPr>
        <w:t>Edge placement:</w:t>
      </w:r>
      <w:r>
        <w:t xml:space="preserve"> run the same Borg container on the Intel 9550 Edge for in-store sources (KDS, printers, Aloha). It pushes curated data plus sealed raw over mTLS to the tenant buckets. (later phase)</w:t>
      </w:r>
    </w:p>
    <w:p>
      <w:r>
        <w:t>That is about 9–11 engineer-weeks to step 5. Steps 1–3 (about 5 weeks) deliver automated Brink → curated with replay.</w:t>
      </w:r>
    </w:p>
    <w:p>
      <w:pPr>
        <w:pStyle w:val="Heading1"/>
      </w:pPr>
      <w:r>
        <w:t>7. Assumptions</w:t>
      </w:r>
    </w:p>
    <w:p>
      <w:pPr>
        <w:pStyle w:val="ListBullet"/>
      </w:pPr>
      <w:r>
        <w:t>Brink offers pull APIs only, with no webhook or stream, and a business-date retention window long enough for the nightly re-pull.</w:t>
      </w:r>
    </w:p>
    <w:p>
      <w:pPr>
        <w:pStyle w:val="ListBullet"/>
      </w:pPr>
      <w:r>
        <w:t xml:space="preserve">Curated tables keep their current names and shapes. The Borg's output contract equals today's </w:t>
      </w:r>
      <w:r>
        <w:rPr>
          <w:rFonts w:ascii="Consolas" w:hAnsi="Consolas"/>
          <w:color w:val="8B1A1A"/>
          <w:sz w:val="18"/>
        </w:rPr>
        <w:t>curated</w:t>
      </w:r>
      <w:r>
        <w:t xml:space="preserve"> schema (11 tables).</w:t>
      </w:r>
    </w:p>
    <w:p>
      <w:pPr>
        <w:pStyle w:val="ListBullet"/>
      </w:pPr>
      <w:r>
        <w:t xml:space="preserve">Tenant = customer, as in today's </w:t>
      </w:r>
      <w:r>
        <w:rPr>
          <w:rFonts w:ascii="Consolas" w:hAnsi="Consolas"/>
          <w:color w:val="8B1A1A"/>
          <w:sz w:val="18"/>
        </w:rPr>
        <w:t>TenantWarehouseMapping</w:t>
      </w:r>
      <w:r>
        <w:t>.</w:t>
      </w:r>
    </w:p>
    <w:p>
      <w:pPr>
        <w:pStyle w:val="ListBullet"/>
      </w:pPr>
      <w:r>
        <w:t>None of the code behavior was confirmed from file contents (see analysis.md §5).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